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CE" w:rsidRPr="00ED4BD4" w:rsidRDefault="00756BB6" w:rsidP="00C64BE3">
      <w:pPr>
        <w:jc w:val="center"/>
        <w:rPr>
          <w:rFonts w:eastAsia="ＭＳ ゴシック"/>
          <w:b/>
          <w:color w:val="000000"/>
          <w:sz w:val="24"/>
        </w:rPr>
      </w:pPr>
      <w:r w:rsidRPr="00ED4BD4">
        <w:rPr>
          <w:rFonts w:eastAsia="ＭＳ ゴシック" w:hint="eastAsia"/>
          <w:b/>
          <w:color w:val="000000"/>
          <w:sz w:val="24"/>
        </w:rPr>
        <w:t>スルホニルウレア系除草剤（</w:t>
      </w:r>
      <w:r w:rsidR="003B2138" w:rsidRPr="003B2138">
        <w:rPr>
          <w:rFonts w:ascii="ＭＳ ゴシック" w:eastAsia="ＭＳ ゴシック" w:hAnsi="ＭＳ ゴシック" w:hint="eastAsia"/>
          <w:b/>
          <w:color w:val="000000"/>
          <w:sz w:val="24"/>
        </w:rPr>
        <w:t>ＳＵ</w:t>
      </w:r>
      <w:r w:rsidRPr="00ED4BD4">
        <w:rPr>
          <w:rFonts w:eastAsia="ＭＳ ゴシック" w:hint="eastAsia"/>
          <w:b/>
          <w:color w:val="000000"/>
          <w:sz w:val="24"/>
        </w:rPr>
        <w:t>剤）抵抗性雑草に対する防除法</w:t>
      </w:r>
    </w:p>
    <w:p w:rsidR="00B122CE" w:rsidRPr="00ED4BD4" w:rsidRDefault="00B122CE">
      <w:pPr>
        <w:ind w:left="105"/>
        <w:jc w:val="center"/>
        <w:rPr>
          <w:rFonts w:eastAsia="ＭＳ ゴシック"/>
          <w:b/>
          <w:color w:val="000000"/>
          <w:sz w:val="24"/>
        </w:rPr>
      </w:pPr>
    </w:p>
    <w:p w:rsidR="00756BB6" w:rsidRPr="00CD48C9" w:rsidRDefault="003B2138" w:rsidP="00656155">
      <w:pPr>
        <w:ind w:firstLine="210"/>
        <w:rPr>
          <w:rFonts w:ascii="ＭＳ 明朝" w:hAnsi="ＭＳ 明朝"/>
          <w:bCs/>
          <w:color w:val="000000"/>
          <w:sz w:val="22"/>
          <w:szCs w:val="22"/>
        </w:rPr>
      </w:pP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水稲除草剤の一発処理剤の多くに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広範囲の雑草に優れた効果がある「スルホニルウレア（ＳＵ）系」の成分が含まれてい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。しかし近年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本成分を含む除草剤の連用に起因すると考えられる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ＳＵ系成分が効かない雑草が分布を拡大し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ほ場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に特定の雑草が残草する問題が生じてい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。県内でもＳＵ抵抗性のコナギ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イヌ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ホタルイ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アゼナ類が確認され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てい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。</w:t>
      </w:r>
    </w:p>
    <w:p w:rsidR="00B44A0A" w:rsidRPr="00CD48C9" w:rsidRDefault="00B44A0A" w:rsidP="00656155">
      <w:pPr>
        <w:ind w:firstLine="210"/>
        <w:rPr>
          <w:rFonts w:ascii="ＭＳ 明朝" w:hAnsi="ＭＳ 明朝"/>
          <w:bCs/>
          <w:color w:val="000000"/>
          <w:sz w:val="22"/>
          <w:szCs w:val="22"/>
        </w:rPr>
      </w:pPr>
    </w:p>
    <w:p w:rsidR="00B44A0A" w:rsidRPr="00EE3ED8" w:rsidRDefault="003B2138" w:rsidP="00C35A6C">
      <w:pPr>
        <w:ind w:firstLine="210"/>
        <w:rPr>
          <w:rFonts w:ascii="ＭＳ 明朝" w:hAnsi="ＭＳ 明朝"/>
          <w:bCs/>
          <w:sz w:val="22"/>
          <w:szCs w:val="22"/>
        </w:rPr>
      </w:pP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ＳＵ系成分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には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ベンスルフロンメチル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CD48C9">
        <w:rPr>
          <w:rFonts w:ascii="ＭＳ 明朝" w:hAnsi="ＭＳ 明朝" w:hint="eastAsia"/>
          <w:bCs/>
          <w:color w:val="000000"/>
          <w:sz w:val="22"/>
          <w:szCs w:val="22"/>
        </w:rPr>
        <w:t>ピラゾスルフロンエチル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イマゾスルフロン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Pr="00EE3ED8">
        <w:rPr>
          <w:rFonts w:ascii="ＭＳ 明朝" w:hAnsi="ＭＳ 明朝" w:hint="eastAsia"/>
          <w:bCs/>
          <w:sz w:val="22"/>
          <w:szCs w:val="22"/>
        </w:rPr>
        <w:t>シクロスルファムロン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エトキシスルフロン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ハロスルフロンメチル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メタゾスルフロン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プロピリスルフロン</w:t>
      </w:r>
      <w:r w:rsidR="003F1E1F">
        <w:rPr>
          <w:rFonts w:ascii="ＭＳ 明朝" w:hAnsi="ＭＳ 明朝" w:hint="eastAsia"/>
          <w:bCs/>
          <w:sz w:val="22"/>
          <w:szCs w:val="22"/>
        </w:rPr>
        <w:t>、</w:t>
      </w:r>
      <w:r w:rsidR="00EE3ED8" w:rsidRPr="00EE3ED8">
        <w:rPr>
          <w:rFonts w:ascii="ＭＳ 明朝" w:hAnsi="ＭＳ 明朝" w:hint="eastAsia"/>
          <w:bCs/>
          <w:sz w:val="22"/>
          <w:szCs w:val="22"/>
        </w:rPr>
        <w:t>フルセトスルフロン</w:t>
      </w:r>
      <w:r w:rsidRPr="00EE3ED8">
        <w:rPr>
          <w:rFonts w:ascii="ＭＳ 明朝" w:hAnsi="ＭＳ 明朝" w:hint="eastAsia"/>
          <w:bCs/>
          <w:sz w:val="22"/>
          <w:szCs w:val="22"/>
        </w:rPr>
        <w:t xml:space="preserve">　などがあ</w:t>
      </w:r>
      <w:r w:rsidR="00603C30">
        <w:rPr>
          <w:rFonts w:ascii="ＭＳ 明朝" w:hAnsi="ＭＳ 明朝" w:hint="eastAsia"/>
          <w:bCs/>
          <w:sz w:val="22"/>
          <w:szCs w:val="22"/>
        </w:rPr>
        <w:t>る</w:t>
      </w:r>
      <w:r w:rsidRPr="00EE3ED8">
        <w:rPr>
          <w:rFonts w:ascii="ＭＳ 明朝" w:hAnsi="ＭＳ 明朝" w:hint="eastAsia"/>
          <w:bCs/>
          <w:sz w:val="22"/>
          <w:szCs w:val="22"/>
        </w:rPr>
        <w:t>。</w:t>
      </w:r>
    </w:p>
    <w:p w:rsidR="00C35A6C" w:rsidRPr="00EE3ED8" w:rsidRDefault="00C35A6C" w:rsidP="007E7914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C17066" w:rsidRPr="00ED4BD4" w:rsidRDefault="00C17066" w:rsidP="00C17066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１　</w:t>
      </w:r>
      <w:r w:rsidR="003B2138"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ＳＵ</w:t>
      </w:r>
      <w:r w:rsidR="00253AF8" w:rsidRPr="00ED4BD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抵抗性雑草の判別方法</w:t>
      </w:r>
    </w:p>
    <w:p w:rsidR="001A2E70" w:rsidRPr="00ED4BD4" w:rsidRDefault="003B2138" w:rsidP="003B2138">
      <w:pPr>
        <w:ind w:leftChars="100" w:left="210"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</w:t>
      </w:r>
      <w:r w:rsidR="00253AF8" w:rsidRPr="00ED4BD4">
        <w:rPr>
          <w:rFonts w:ascii="ＭＳ 明朝" w:hAnsi="ＭＳ 明朝" w:hint="eastAsia"/>
          <w:bCs/>
          <w:color w:val="000000"/>
          <w:sz w:val="22"/>
          <w:szCs w:val="22"/>
        </w:rPr>
        <w:t>抵抗性雑草は外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見</w:t>
      </w:r>
      <w:r w:rsidR="00253AF8" w:rsidRPr="00ED4BD4">
        <w:rPr>
          <w:rFonts w:ascii="ＭＳ 明朝" w:hAnsi="ＭＳ 明朝" w:hint="eastAsia"/>
          <w:bCs/>
          <w:color w:val="000000"/>
          <w:sz w:val="22"/>
          <w:szCs w:val="22"/>
        </w:rPr>
        <w:t>では判別でき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ない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。</w:t>
      </w:r>
      <w:r w:rsidR="00EF376B">
        <w:rPr>
          <w:rFonts w:ascii="ＭＳ 明朝" w:hAnsi="ＭＳ 明朝" w:hint="eastAsia"/>
          <w:bCs/>
          <w:color w:val="000000"/>
          <w:sz w:val="22"/>
          <w:szCs w:val="22"/>
        </w:rPr>
        <w:t>ほ場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に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１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種類だけの雑草が大量に残り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さらに他の雑草が</w:t>
      </w:r>
      <w:r w:rsidR="00886302" w:rsidRPr="00ED4BD4">
        <w:rPr>
          <w:rFonts w:ascii="ＭＳ 明朝" w:hAnsi="ＭＳ 明朝" w:hint="eastAsia"/>
          <w:bCs/>
          <w:color w:val="000000"/>
          <w:sz w:val="22"/>
          <w:szCs w:val="22"/>
        </w:rPr>
        <w:t>ほとんど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残っていない場合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抵抗性である可能性が高い。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残草が</w:t>
      </w:r>
      <w:r w:rsidRPr="00ED4BD4">
        <w:rPr>
          <w:rFonts w:ascii="ＭＳ 明朝" w:hAnsi="ＭＳ 明朝" w:hint="eastAsia"/>
          <w:bCs/>
          <w:color w:val="000000"/>
          <w:sz w:val="22"/>
          <w:szCs w:val="22"/>
        </w:rPr>
        <w:t>ＳＵ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抵抗性によるものか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あるいは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不適切な</w:t>
      </w:r>
      <w:r w:rsidR="00B24DB2" w:rsidRPr="00ED4BD4">
        <w:rPr>
          <w:rFonts w:ascii="ＭＳ 明朝" w:hAnsi="ＭＳ 明朝" w:hint="eastAsia"/>
          <w:bCs/>
          <w:color w:val="000000"/>
          <w:sz w:val="22"/>
          <w:szCs w:val="22"/>
        </w:rPr>
        <w:t>水管理など雑草防除そのものの失敗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によるものか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チャートにより診断でき</w:t>
      </w:r>
      <w:r w:rsidR="00603C30">
        <w:rPr>
          <w:rFonts w:ascii="ＭＳ 明朝" w:hAnsi="ＭＳ 明朝" w:hint="eastAsia"/>
          <w:bCs/>
          <w:color w:val="000000"/>
          <w:sz w:val="22"/>
          <w:szCs w:val="22"/>
        </w:rPr>
        <w:t>る</w:t>
      </w:r>
      <w:r w:rsidR="00A03CF3" w:rsidRPr="00ED4BD4">
        <w:rPr>
          <w:rFonts w:ascii="ＭＳ 明朝" w:hAnsi="ＭＳ 明朝" w:hint="eastAsia"/>
          <w:bCs/>
          <w:color w:val="000000"/>
          <w:sz w:val="22"/>
          <w:szCs w:val="22"/>
        </w:rPr>
        <w:t>。</w:t>
      </w:r>
    </w:p>
    <w:p w:rsidR="00BE3551" w:rsidRDefault="00D811EF" w:rsidP="00BE3551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41BF266" wp14:editId="2F2F0255">
            <wp:extent cx="4029845" cy="505777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4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551" w:rsidRPr="00BE3551" w:rsidRDefault="003B2138" w:rsidP="00BE3551">
      <w:pPr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0"/>
        </w:rPr>
        <w:t xml:space="preserve">図　</w:t>
      </w:r>
      <w:r w:rsidRPr="00BE3551">
        <w:rPr>
          <w:rFonts w:ascii="ＭＳ 明朝" w:hAnsi="ＭＳ 明朝" w:hint="eastAsia"/>
          <w:bCs/>
          <w:color w:val="000000"/>
          <w:sz w:val="20"/>
        </w:rPr>
        <w:t>ＳＵ</w:t>
      </w:r>
      <w:r w:rsidR="00BE3551" w:rsidRPr="00BE3551">
        <w:rPr>
          <w:rFonts w:ascii="ＭＳ 明朝" w:hAnsi="ＭＳ 明朝" w:hint="eastAsia"/>
          <w:bCs/>
          <w:color w:val="000000"/>
          <w:sz w:val="20"/>
        </w:rPr>
        <w:t>抵抗性雑草の判別チャート</w:t>
      </w:r>
    </w:p>
    <w:p w:rsidR="00BE3551" w:rsidRDefault="00BE3551" w:rsidP="00BE3551">
      <w:pPr>
        <w:ind w:firstLineChars="200" w:firstLine="400"/>
        <w:rPr>
          <w:rFonts w:ascii="ＭＳ 明朝" w:hAnsi="ＭＳ 明朝"/>
          <w:bCs/>
          <w:color w:val="000000"/>
          <w:sz w:val="20"/>
        </w:rPr>
      </w:pPr>
      <w:r w:rsidRPr="00BE3551">
        <w:rPr>
          <w:rFonts w:ascii="ＭＳ 明朝" w:hAnsi="ＭＳ 明朝" w:hint="eastAsia"/>
          <w:bCs/>
          <w:color w:val="000000"/>
          <w:sz w:val="20"/>
        </w:rPr>
        <w:t>注：本チャートは除草剤処理30日後（温暖地、暖地）～50日後（寒地、寒冷地）の</w:t>
      </w:r>
      <w:r w:rsidR="00EF376B">
        <w:rPr>
          <w:rFonts w:ascii="ＭＳ 明朝" w:hAnsi="ＭＳ 明朝" w:hint="eastAsia"/>
          <w:bCs/>
          <w:color w:val="000000"/>
          <w:sz w:val="20"/>
        </w:rPr>
        <w:t>ほ場</w:t>
      </w:r>
      <w:r w:rsidRPr="00BE3551">
        <w:rPr>
          <w:rFonts w:ascii="ＭＳ 明朝" w:hAnsi="ＭＳ 明朝" w:hint="eastAsia"/>
          <w:bCs/>
          <w:color w:val="000000"/>
          <w:sz w:val="20"/>
        </w:rPr>
        <w:t>観察が前提)</w:t>
      </w:r>
    </w:p>
    <w:p w:rsidR="00A4138E" w:rsidRPr="003B2138" w:rsidRDefault="00886302" w:rsidP="00FA4D31">
      <w:pPr>
        <w:ind w:leftChars="200" w:left="620" w:hangingChars="100" w:hanging="200"/>
        <w:rPr>
          <w:rFonts w:ascii="ＭＳ 明朝" w:hAnsi="ＭＳ 明朝"/>
          <w:bCs/>
          <w:color w:val="000000"/>
          <w:sz w:val="20"/>
        </w:rPr>
      </w:pPr>
      <w:r w:rsidRPr="00BE3551">
        <w:rPr>
          <w:rFonts w:ascii="ＭＳ 明朝" w:hAnsi="ＭＳ 明朝" w:hint="eastAsia"/>
          <w:bCs/>
          <w:color w:val="000000"/>
          <w:sz w:val="20"/>
        </w:rPr>
        <w:t>（日本植物調</w:t>
      </w:r>
      <w:r w:rsidR="00023317">
        <w:rPr>
          <w:rFonts w:ascii="ＭＳ 明朝" w:hAnsi="ＭＳ 明朝" w:hint="eastAsia"/>
          <w:bCs/>
          <w:color w:val="000000"/>
          <w:sz w:val="20"/>
        </w:rPr>
        <w:t>節</w:t>
      </w:r>
      <w:r w:rsidRPr="00BE3551">
        <w:rPr>
          <w:rFonts w:ascii="ＭＳ 明朝" w:hAnsi="ＭＳ 明朝" w:hint="eastAsia"/>
          <w:bCs/>
          <w:color w:val="000000"/>
          <w:sz w:val="20"/>
        </w:rPr>
        <w:t>剤研究協会ホームページ</w:t>
      </w:r>
      <w:r w:rsidR="00BB68A3">
        <w:rPr>
          <w:rFonts w:ascii="ＭＳ 明朝" w:hAnsi="ＭＳ 明朝" w:hint="eastAsia"/>
          <w:bCs/>
          <w:color w:val="FF0000"/>
          <w:sz w:val="20"/>
        </w:rPr>
        <w:t>（</w:t>
      </w:r>
      <w:hyperlink r:id="rId9" w:history="1">
        <w:r w:rsidR="00372CE1" w:rsidRPr="00372CE1">
          <w:rPr>
            <w:rStyle w:val="a5"/>
            <w:rFonts w:ascii="ＭＳ 明朝" w:hAnsi="ＭＳ 明朝" w:cs="Arial"/>
            <w:bCs/>
            <w:sz w:val="20"/>
          </w:rPr>
          <w:t>https://japr.or.jp/</w:t>
        </w:r>
      </w:hyperlink>
      <w:r w:rsidR="00BB68A3" w:rsidRPr="00BB68A3">
        <w:rPr>
          <w:rStyle w:val="a5"/>
          <w:rFonts w:ascii="ＭＳ 明朝" w:hAnsi="ＭＳ 明朝" w:cs="Arial" w:hint="eastAsia"/>
          <w:bCs/>
          <w:color w:val="FF0000"/>
          <w:sz w:val="20"/>
          <w:u w:val="none"/>
        </w:rPr>
        <w:t>）</w:t>
      </w:r>
      <w:r w:rsidR="00BB68A3">
        <w:rPr>
          <w:rStyle w:val="a5"/>
          <w:rFonts w:ascii="ＭＳ 明朝" w:hAnsi="ＭＳ 明朝" w:cs="Arial" w:hint="eastAsia"/>
          <w:bCs/>
          <w:color w:val="FF0000"/>
          <w:sz w:val="20"/>
          <w:u w:val="none"/>
        </w:rPr>
        <w:t>の</w:t>
      </w:r>
      <w:r w:rsidR="00BB68A3" w:rsidRPr="00BB68A3">
        <w:rPr>
          <w:rFonts w:ascii="ＭＳ 明朝" w:hAnsi="ＭＳ 明朝" w:hint="eastAsia"/>
          <w:bCs/>
          <w:color w:val="FF0000"/>
          <w:sz w:val="20"/>
        </w:rPr>
        <w:t>雑草防除・植物の生育調節に関する技術情報</w:t>
      </w:r>
      <w:r w:rsidR="002247BB" w:rsidRPr="0098704D">
        <w:rPr>
          <w:rFonts w:ascii="ＭＳ 明朝" w:hAnsi="ＭＳ 明朝" w:hint="eastAsia"/>
          <w:bCs/>
          <w:color w:val="000000"/>
          <w:sz w:val="20"/>
        </w:rPr>
        <w:t>に掲載されている「除草剤抵抗性雑草とその防除【水稲分野】</w:t>
      </w:r>
      <w:r w:rsidR="0098704D" w:rsidRPr="0098704D">
        <w:rPr>
          <w:rFonts w:ascii="ＭＳ 明朝" w:hAnsi="ＭＳ 明朝" w:hint="eastAsia"/>
          <w:bCs/>
          <w:color w:val="000000"/>
          <w:sz w:val="20"/>
        </w:rPr>
        <w:t>_202</w:t>
      </w:r>
      <w:r w:rsidR="00BB68A3" w:rsidRPr="00BB68A3">
        <w:rPr>
          <w:rFonts w:ascii="ＭＳ 明朝" w:hAnsi="ＭＳ 明朝"/>
          <w:bCs/>
          <w:color w:val="FF0000"/>
          <w:sz w:val="20"/>
        </w:rPr>
        <w:t>3</w:t>
      </w:r>
      <w:r w:rsidR="0098704D" w:rsidRPr="0098704D">
        <w:rPr>
          <w:rFonts w:ascii="ＭＳ 明朝" w:hAnsi="ＭＳ 明朝" w:hint="eastAsia"/>
          <w:bCs/>
          <w:color w:val="000000"/>
          <w:sz w:val="20"/>
        </w:rPr>
        <w:t>年更新</w:t>
      </w:r>
      <w:r w:rsidR="002247BB" w:rsidRPr="0098704D">
        <w:rPr>
          <w:rFonts w:ascii="ＭＳ 明朝" w:hAnsi="ＭＳ 明朝" w:hint="eastAsia"/>
          <w:bCs/>
          <w:color w:val="000000"/>
          <w:sz w:val="20"/>
        </w:rPr>
        <w:t>.pdf」</w:t>
      </w:r>
      <w:r w:rsidR="00C333BA" w:rsidRPr="003B2138">
        <w:rPr>
          <w:rFonts w:ascii="ＭＳ 明朝" w:hAnsi="ＭＳ 明朝" w:hint="eastAsia"/>
          <w:bCs/>
          <w:color w:val="000000"/>
          <w:sz w:val="20"/>
        </w:rPr>
        <w:t>より抜粋</w:t>
      </w:r>
      <w:r w:rsidRPr="003B2138">
        <w:rPr>
          <w:rFonts w:ascii="ＭＳ 明朝" w:hAnsi="ＭＳ 明朝" w:hint="eastAsia"/>
          <w:bCs/>
          <w:color w:val="000000"/>
          <w:sz w:val="20"/>
        </w:rPr>
        <w:t>）</w:t>
      </w:r>
    </w:p>
    <w:p w:rsidR="00670A73" w:rsidRPr="00F3049F" w:rsidRDefault="00670A73" w:rsidP="00656155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581CC1" w:rsidRPr="003B2138" w:rsidRDefault="00C17066" w:rsidP="00656155">
      <w:pPr>
        <w:rPr>
          <w:rFonts w:ascii="ＭＳ 明朝" w:hAnsi="ＭＳ 明朝"/>
          <w:b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CD5128" w:rsidRPr="003B2138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3B2138" w:rsidRPr="003B2138">
        <w:rPr>
          <w:rFonts w:ascii="ＭＳ 明朝" w:hAnsi="ＭＳ 明朝" w:hint="eastAsia"/>
          <w:b/>
          <w:color w:val="000000"/>
          <w:sz w:val="22"/>
          <w:szCs w:val="22"/>
        </w:rPr>
        <w:t>ＳＵ</w:t>
      </w:r>
      <w:r w:rsidR="00A03CF3" w:rsidRPr="003B2138">
        <w:rPr>
          <w:rFonts w:ascii="ＭＳ 明朝" w:hAnsi="ＭＳ 明朝" w:hint="eastAsia"/>
          <w:b/>
          <w:color w:val="000000"/>
          <w:sz w:val="22"/>
          <w:szCs w:val="22"/>
        </w:rPr>
        <w:t>抵抗性雑草に対する防除法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・ＳＵ抵抗性雑草を発生させないように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ＳＵ系除草剤を連用しない。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・発生した年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中後期剤（ＭＣＰＢやベンタゾン等）を散布して密度を下げる。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・発生した翌年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ＳＵ抵抗性雑草に効果がある成分を含む除草剤を使用する。</w:t>
      </w:r>
    </w:p>
    <w:p w:rsidR="00B44A0A" w:rsidRPr="003B2138" w:rsidRDefault="003B2138" w:rsidP="003B2138">
      <w:pPr>
        <w:ind w:firstLineChars="226" w:firstLine="475"/>
        <w:rPr>
          <w:rFonts w:ascii="ＭＳ 明朝" w:hAnsi="ＭＳ 明朝"/>
        </w:rPr>
      </w:pPr>
      <w:r w:rsidRPr="003B2138">
        <w:rPr>
          <w:rFonts w:ascii="ＭＳ 明朝" w:hAnsi="ＭＳ 明朝" w:hint="eastAsia"/>
        </w:rPr>
        <w:t>初期剤＋一発剤</w:t>
      </w:r>
      <w:r w:rsidR="003F1E1F">
        <w:rPr>
          <w:rFonts w:ascii="ＭＳ 明朝" w:hAnsi="ＭＳ 明朝" w:hint="eastAsia"/>
        </w:rPr>
        <w:t>、</w:t>
      </w:r>
      <w:r w:rsidRPr="003B2138">
        <w:rPr>
          <w:rFonts w:ascii="ＭＳ 明朝" w:hAnsi="ＭＳ 明朝" w:hint="eastAsia"/>
        </w:rPr>
        <w:t>初期剤＋中期剤のような体系処理が効果的。</w:t>
      </w:r>
    </w:p>
    <w:p w:rsidR="00B44A0A" w:rsidRPr="003B2138" w:rsidRDefault="003B2138" w:rsidP="003B2138">
      <w:pPr>
        <w:ind w:firstLineChars="100" w:firstLine="21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</w:rPr>
        <w:t>・除草剤の処理時期を登録の範囲内で</w:t>
      </w:r>
      <w:r w:rsidR="003F1E1F">
        <w:rPr>
          <w:rFonts w:ascii="ＭＳ 明朝" w:hAnsi="ＭＳ 明朝" w:hint="eastAsia"/>
        </w:rPr>
        <w:t>、</w:t>
      </w:r>
      <w:r w:rsidRPr="003B2138">
        <w:rPr>
          <w:rFonts w:ascii="ＭＳ 明朝" w:hAnsi="ＭＳ 明朝" w:hint="eastAsia"/>
        </w:rPr>
        <w:t>なるべく葉齢の小さい時期に処理する。</w:t>
      </w:r>
    </w:p>
    <w:p w:rsidR="00A03CF3" w:rsidRPr="003B2138" w:rsidRDefault="003B2138" w:rsidP="003B2138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・ＳＵ抵抗性雑草について実用化可能と判定された除草剤については</w:t>
      </w:r>
      <w:r w:rsidR="003F1E1F">
        <w:rPr>
          <w:rFonts w:ascii="ＭＳ 明朝" w:hAnsi="ＭＳ 明朝" w:hint="eastAsia"/>
          <w:bCs/>
          <w:color w:val="000000"/>
          <w:sz w:val="22"/>
          <w:szCs w:val="22"/>
        </w:rPr>
        <w:t>、</w:t>
      </w:r>
      <w:r w:rsidRPr="003B2138">
        <w:rPr>
          <w:rFonts w:ascii="ＭＳ 明朝" w:hAnsi="ＭＳ 明朝" w:hint="eastAsia"/>
          <w:bCs/>
          <w:color w:val="000000"/>
          <w:sz w:val="22"/>
          <w:szCs w:val="22"/>
        </w:rPr>
        <w:t>下記リンク</w:t>
      </w:r>
      <w:r w:rsidR="00005C74" w:rsidRPr="003B2138">
        <w:rPr>
          <w:rFonts w:ascii="ＭＳ 明朝" w:hAnsi="ＭＳ 明朝" w:hint="eastAsia"/>
          <w:bCs/>
          <w:color w:val="000000"/>
          <w:sz w:val="22"/>
          <w:szCs w:val="22"/>
        </w:rPr>
        <w:t>を参照。</w:t>
      </w:r>
    </w:p>
    <w:p w:rsidR="00BB68A3" w:rsidRPr="003B2138" w:rsidRDefault="00BB68A3" w:rsidP="00BB68A3">
      <w:pPr>
        <w:ind w:leftChars="200" w:left="620" w:hangingChars="100" w:hanging="200"/>
        <w:rPr>
          <w:rFonts w:ascii="ＭＳ 明朝" w:hAnsi="ＭＳ 明朝"/>
          <w:bCs/>
          <w:color w:val="000000"/>
          <w:sz w:val="20"/>
        </w:rPr>
      </w:pPr>
      <w:r w:rsidRPr="00BE3551">
        <w:rPr>
          <w:rFonts w:ascii="ＭＳ 明朝" w:hAnsi="ＭＳ 明朝" w:hint="eastAsia"/>
          <w:bCs/>
          <w:color w:val="000000"/>
          <w:sz w:val="20"/>
        </w:rPr>
        <w:t>（日本植物調</w:t>
      </w:r>
      <w:r>
        <w:rPr>
          <w:rFonts w:ascii="ＭＳ 明朝" w:hAnsi="ＭＳ 明朝" w:hint="eastAsia"/>
          <w:bCs/>
          <w:color w:val="000000"/>
          <w:sz w:val="20"/>
        </w:rPr>
        <w:t>節</w:t>
      </w:r>
      <w:r w:rsidRPr="00BE3551">
        <w:rPr>
          <w:rFonts w:ascii="ＭＳ 明朝" w:hAnsi="ＭＳ 明朝" w:hint="eastAsia"/>
          <w:bCs/>
          <w:color w:val="000000"/>
          <w:sz w:val="20"/>
        </w:rPr>
        <w:t>剤研究協会ホームページ</w:t>
      </w:r>
      <w:r>
        <w:rPr>
          <w:rFonts w:ascii="ＭＳ 明朝" w:hAnsi="ＭＳ 明朝" w:hint="eastAsia"/>
          <w:bCs/>
          <w:color w:val="FF0000"/>
          <w:sz w:val="20"/>
        </w:rPr>
        <w:t>（</w:t>
      </w:r>
      <w:hyperlink r:id="rId10" w:history="1">
        <w:r w:rsidRPr="00372CE1">
          <w:rPr>
            <w:rStyle w:val="a5"/>
            <w:rFonts w:ascii="ＭＳ 明朝" w:hAnsi="ＭＳ 明朝" w:cs="Arial"/>
            <w:bCs/>
            <w:sz w:val="20"/>
          </w:rPr>
          <w:t>https://japr.or.jp/</w:t>
        </w:r>
      </w:hyperlink>
      <w:r w:rsidRPr="00BB68A3">
        <w:rPr>
          <w:rStyle w:val="a5"/>
          <w:rFonts w:ascii="ＭＳ 明朝" w:hAnsi="ＭＳ 明朝" w:cs="Arial" w:hint="eastAsia"/>
          <w:bCs/>
          <w:color w:val="FF0000"/>
          <w:sz w:val="20"/>
          <w:u w:val="none"/>
        </w:rPr>
        <w:t>）</w:t>
      </w:r>
      <w:r w:rsidRPr="00F25A2C">
        <w:rPr>
          <w:rStyle w:val="a5"/>
          <w:rFonts w:ascii="ＭＳ 明朝" w:hAnsi="ＭＳ 明朝" w:cs="Arial" w:hint="eastAsia"/>
          <w:bCs/>
          <w:color w:val="auto"/>
          <w:sz w:val="20"/>
          <w:u w:val="none"/>
        </w:rPr>
        <w:t>の</w:t>
      </w:r>
      <w:r w:rsidRPr="00F25A2C">
        <w:rPr>
          <w:rFonts w:ascii="ＭＳ 明朝" w:hAnsi="ＭＳ 明朝" w:hint="eastAsia"/>
          <w:bCs/>
          <w:sz w:val="20"/>
        </w:rPr>
        <w:t>雑草防除・植物の生育調節に関する技術情報</w:t>
      </w:r>
      <w:r w:rsidRPr="0098704D">
        <w:rPr>
          <w:rFonts w:ascii="ＭＳ 明朝" w:hAnsi="ＭＳ 明朝" w:hint="eastAsia"/>
          <w:bCs/>
          <w:color w:val="000000"/>
          <w:sz w:val="20"/>
        </w:rPr>
        <w:t>に掲載されている「除草剤抵抗性雑草とその防除【水稲分野】_202</w:t>
      </w:r>
      <w:r w:rsidRPr="00BB68A3">
        <w:rPr>
          <w:rFonts w:ascii="ＭＳ 明朝" w:hAnsi="ＭＳ 明朝"/>
          <w:bCs/>
          <w:color w:val="FF0000"/>
          <w:sz w:val="20"/>
        </w:rPr>
        <w:t>3</w:t>
      </w:r>
      <w:r w:rsidRPr="0098704D">
        <w:rPr>
          <w:rFonts w:ascii="ＭＳ 明朝" w:hAnsi="ＭＳ 明朝" w:hint="eastAsia"/>
          <w:bCs/>
          <w:color w:val="000000"/>
          <w:sz w:val="20"/>
        </w:rPr>
        <w:t>年更新.pdf」</w:t>
      </w:r>
      <w:r w:rsidRPr="003B2138">
        <w:rPr>
          <w:rFonts w:ascii="ＭＳ 明朝" w:hAnsi="ＭＳ 明朝" w:hint="eastAsia"/>
          <w:bCs/>
          <w:color w:val="000000"/>
          <w:sz w:val="20"/>
        </w:rPr>
        <w:t>より抜粋）</w:t>
      </w:r>
    </w:p>
    <w:p w:rsidR="00005C74" w:rsidRPr="00BB68A3" w:rsidRDefault="00005C74" w:rsidP="00A03CF3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0D3437" w:rsidRPr="00372CE1" w:rsidRDefault="000D3437" w:rsidP="007D6C61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</w:p>
    <w:p w:rsidR="003803DD" w:rsidRPr="00ED4BD4" w:rsidRDefault="003803DD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bookmarkStart w:id="0" w:name="_GoBack"/>
      <w:bookmarkEnd w:id="0"/>
    </w:p>
    <w:sectPr w:rsidR="003803DD" w:rsidRPr="00ED4BD4" w:rsidSect="007E7914">
      <w:pgSz w:w="11906" w:h="16838" w:code="9"/>
      <w:pgMar w:top="851" w:right="1134" w:bottom="993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C7" w:rsidRDefault="00AF4CC7" w:rsidP="00D811EF">
      <w:r>
        <w:separator/>
      </w:r>
    </w:p>
  </w:endnote>
  <w:endnote w:type="continuationSeparator" w:id="0">
    <w:p w:rsidR="00AF4CC7" w:rsidRDefault="00AF4CC7" w:rsidP="00D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C7" w:rsidRDefault="00AF4CC7" w:rsidP="00D811EF">
      <w:r>
        <w:separator/>
      </w:r>
    </w:p>
  </w:footnote>
  <w:footnote w:type="continuationSeparator" w:id="0">
    <w:p w:rsidR="00AF4CC7" w:rsidRDefault="00AF4CC7" w:rsidP="00D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9A"/>
    <w:multiLevelType w:val="singleLevel"/>
    <w:tmpl w:val="A3FEB2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05AA0CD0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06AB6D78"/>
    <w:multiLevelType w:val="singleLevel"/>
    <w:tmpl w:val="B89E2F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45"/>
      </w:pPr>
      <w:rPr>
        <w:rFonts w:hint="default"/>
      </w:rPr>
    </w:lvl>
  </w:abstractNum>
  <w:abstractNum w:abstractNumId="3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abstractNum w:abstractNumId="4" w15:restartNumberingAfterBreak="0">
    <w:nsid w:val="1BFA6DA1"/>
    <w:multiLevelType w:val="singleLevel"/>
    <w:tmpl w:val="F0E2AF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DB7323E"/>
    <w:multiLevelType w:val="hybridMultilevel"/>
    <w:tmpl w:val="FAC4D746"/>
    <w:lvl w:ilvl="0" w:tplc="26BC7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6D799F"/>
    <w:multiLevelType w:val="singleLevel"/>
    <w:tmpl w:val="42BEFF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9E5241"/>
    <w:multiLevelType w:val="singleLevel"/>
    <w:tmpl w:val="7A78C56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27191FE1"/>
    <w:multiLevelType w:val="singleLevel"/>
    <w:tmpl w:val="80E201D2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9" w15:restartNumberingAfterBreak="0">
    <w:nsid w:val="2AD27E5D"/>
    <w:multiLevelType w:val="singleLevel"/>
    <w:tmpl w:val="F1EA66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1E10A03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4C5E6D39"/>
    <w:multiLevelType w:val="singleLevel"/>
    <w:tmpl w:val="DF1A6FA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6DE5D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644C11C2"/>
    <w:multiLevelType w:val="singleLevel"/>
    <w:tmpl w:val="E7B6E1A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4" w15:restartNumberingAfterBreak="0">
    <w:nsid w:val="646D6AE0"/>
    <w:multiLevelType w:val="singleLevel"/>
    <w:tmpl w:val="A5F4217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5" w15:restartNumberingAfterBreak="0">
    <w:nsid w:val="67196F06"/>
    <w:multiLevelType w:val="singleLevel"/>
    <w:tmpl w:val="1340EEC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30"/>
      </w:pPr>
      <w:rPr>
        <w:rFonts w:hint="default"/>
      </w:rPr>
    </w:lvl>
  </w:abstractNum>
  <w:abstractNum w:abstractNumId="16" w15:restartNumberingAfterBreak="0">
    <w:nsid w:val="676B51E2"/>
    <w:multiLevelType w:val="singleLevel"/>
    <w:tmpl w:val="14DE09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9274B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94E198E"/>
    <w:multiLevelType w:val="singleLevel"/>
    <w:tmpl w:val="0FAA5BF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195"/>
      </w:pPr>
      <w:rPr>
        <w:rFonts w:hint="eastAsia"/>
      </w:rPr>
    </w:lvl>
  </w:abstractNum>
  <w:abstractNum w:abstractNumId="19" w15:restartNumberingAfterBreak="0">
    <w:nsid w:val="6A341E69"/>
    <w:multiLevelType w:val="singleLevel"/>
    <w:tmpl w:val="C78836C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0" w15:restartNumberingAfterBreak="0">
    <w:nsid w:val="75064360"/>
    <w:multiLevelType w:val="singleLevel"/>
    <w:tmpl w:val="15AE08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2"/>
  </w:num>
  <w:num w:numId="18">
    <w:abstractNumId w:val="19"/>
  </w:num>
  <w:num w:numId="19">
    <w:abstractNumId w:val="1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63"/>
    <w:rsid w:val="00005C74"/>
    <w:rsid w:val="00010EAA"/>
    <w:rsid w:val="00023317"/>
    <w:rsid w:val="000D3437"/>
    <w:rsid w:val="000D7330"/>
    <w:rsid w:val="00116217"/>
    <w:rsid w:val="0014534B"/>
    <w:rsid w:val="001A2E70"/>
    <w:rsid w:val="001C593B"/>
    <w:rsid w:val="002247BB"/>
    <w:rsid w:val="00253AF8"/>
    <w:rsid w:val="002742CA"/>
    <w:rsid w:val="002D078B"/>
    <w:rsid w:val="0034378E"/>
    <w:rsid w:val="00357C0C"/>
    <w:rsid w:val="00372CE1"/>
    <w:rsid w:val="003803DD"/>
    <w:rsid w:val="003B2138"/>
    <w:rsid w:val="003F1E1F"/>
    <w:rsid w:val="004729D4"/>
    <w:rsid w:val="004D7F46"/>
    <w:rsid w:val="00545486"/>
    <w:rsid w:val="00580DE0"/>
    <w:rsid w:val="00581CC1"/>
    <w:rsid w:val="00594E21"/>
    <w:rsid w:val="005C0FE2"/>
    <w:rsid w:val="005C5CD5"/>
    <w:rsid w:val="00603C30"/>
    <w:rsid w:val="00617AD7"/>
    <w:rsid w:val="0062287F"/>
    <w:rsid w:val="00656155"/>
    <w:rsid w:val="00670A73"/>
    <w:rsid w:val="00703D21"/>
    <w:rsid w:val="007356B7"/>
    <w:rsid w:val="00744F38"/>
    <w:rsid w:val="00756BB6"/>
    <w:rsid w:val="007638A1"/>
    <w:rsid w:val="007711C9"/>
    <w:rsid w:val="007A3AF0"/>
    <w:rsid w:val="007B085D"/>
    <w:rsid w:val="007C1F97"/>
    <w:rsid w:val="007D6C61"/>
    <w:rsid w:val="007E7914"/>
    <w:rsid w:val="008233F4"/>
    <w:rsid w:val="008541DB"/>
    <w:rsid w:val="008774E7"/>
    <w:rsid w:val="00886302"/>
    <w:rsid w:val="008C1B26"/>
    <w:rsid w:val="008E3276"/>
    <w:rsid w:val="00920B91"/>
    <w:rsid w:val="00944CD4"/>
    <w:rsid w:val="0096041F"/>
    <w:rsid w:val="00964663"/>
    <w:rsid w:val="0098704D"/>
    <w:rsid w:val="00A03CF3"/>
    <w:rsid w:val="00A4138E"/>
    <w:rsid w:val="00A676ED"/>
    <w:rsid w:val="00AF4CC7"/>
    <w:rsid w:val="00B03CAE"/>
    <w:rsid w:val="00B122CE"/>
    <w:rsid w:val="00B16011"/>
    <w:rsid w:val="00B24DB2"/>
    <w:rsid w:val="00B44A0A"/>
    <w:rsid w:val="00BB68A3"/>
    <w:rsid w:val="00BE3551"/>
    <w:rsid w:val="00C13EC0"/>
    <w:rsid w:val="00C17066"/>
    <w:rsid w:val="00C333BA"/>
    <w:rsid w:val="00C35A6C"/>
    <w:rsid w:val="00C4714F"/>
    <w:rsid w:val="00C64BE3"/>
    <w:rsid w:val="00C80BA0"/>
    <w:rsid w:val="00C8121E"/>
    <w:rsid w:val="00CD48C9"/>
    <w:rsid w:val="00CD5128"/>
    <w:rsid w:val="00CF51A8"/>
    <w:rsid w:val="00D176F7"/>
    <w:rsid w:val="00D25ADF"/>
    <w:rsid w:val="00D33C5D"/>
    <w:rsid w:val="00D41561"/>
    <w:rsid w:val="00D5339E"/>
    <w:rsid w:val="00D811EF"/>
    <w:rsid w:val="00DD3320"/>
    <w:rsid w:val="00E20286"/>
    <w:rsid w:val="00E301CC"/>
    <w:rsid w:val="00E53142"/>
    <w:rsid w:val="00ED4BD4"/>
    <w:rsid w:val="00EE3ED8"/>
    <w:rsid w:val="00EF376B"/>
    <w:rsid w:val="00F25A2C"/>
    <w:rsid w:val="00F3049F"/>
    <w:rsid w:val="00F921C2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FB0F-18EF-4329-8805-61BB457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426" w:hanging="426"/>
    </w:pPr>
    <w:rPr>
      <w:sz w:val="22"/>
    </w:rPr>
  </w:style>
  <w:style w:type="paragraph" w:styleId="20">
    <w:name w:val="Body Text Indent 2"/>
    <w:basedOn w:val="a"/>
    <w:pPr>
      <w:ind w:left="630" w:hanging="945"/>
    </w:pPr>
    <w:rPr>
      <w:sz w:val="22"/>
    </w:rPr>
  </w:style>
  <w:style w:type="character" w:styleId="a5">
    <w:name w:val="Hyperlink"/>
    <w:rsid w:val="00C333BA"/>
    <w:rPr>
      <w:color w:val="0000FF"/>
      <w:u w:val="single"/>
    </w:rPr>
  </w:style>
  <w:style w:type="character" w:styleId="a6">
    <w:name w:val="FollowedHyperlink"/>
    <w:rsid w:val="00C333B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81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1E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11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1EF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81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1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0DE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0DE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0DE0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0DE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0DE0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21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apr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pr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3337-7095-4FF0-BBB3-AD2755A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153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水口施用の適用条件および方法について</vt:lpstr>
      <vt:lpstr>５　水口施用の適用条件および方法について</vt:lpstr>
    </vt:vector>
  </TitlesOfParts>
  <Company>広島県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水口施用の適用条件および方法について</dc:title>
  <dc:creator>広島県</dc:creator>
  <cp:lastModifiedBy>広島県</cp:lastModifiedBy>
  <cp:revision>3</cp:revision>
  <cp:lastPrinted>2012-02-13T04:46:00Z</cp:lastPrinted>
  <dcterms:created xsi:type="dcterms:W3CDTF">2024-01-12T07:44:00Z</dcterms:created>
  <dcterms:modified xsi:type="dcterms:W3CDTF">2024-03-11T00:28:00Z</dcterms:modified>
</cp:coreProperties>
</file>