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52D" w14:textId="77777777" w:rsidR="00B27B53" w:rsidRDefault="00B27B53" w:rsidP="00B27B53">
      <w:pPr>
        <w:rPr>
          <w:color w:val="000000" w:themeColor="text1"/>
        </w:rPr>
      </w:pPr>
      <w:r>
        <w:rPr>
          <w:rStyle w:val="aa"/>
          <w:rFonts w:hint="eastAsia"/>
          <w:color w:val="000000" w:themeColor="text1"/>
        </w:rPr>
        <w:t>（</w:t>
      </w:r>
      <w:bookmarkStart w:id="0" w:name="別記様式第４号２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"別記様式第４号２元"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a"/>
          <w:rFonts w:hint="eastAsia"/>
          <w:color w:val="000000" w:themeColor="text1"/>
        </w:rPr>
        <w:t>別記様式第４号の２</w:t>
      </w:r>
      <w:bookmarkEnd w:id="0"/>
      <w:r>
        <w:rPr>
          <w:rFonts w:hint="eastAsia"/>
        </w:rPr>
        <w:fldChar w:fldCharType="end"/>
      </w:r>
      <w:r>
        <w:rPr>
          <w:rStyle w:val="aa"/>
          <w:rFonts w:hint="eastAsia"/>
          <w:color w:val="000000" w:themeColor="text1"/>
        </w:rPr>
        <w:t>）</w:t>
      </w:r>
    </w:p>
    <w:p w14:paraId="7B622614" w14:textId="77777777" w:rsidR="00B27B53" w:rsidRDefault="00B27B53" w:rsidP="00B27B53">
      <w:pPr>
        <w:jc w:val="center"/>
        <w:rPr>
          <w:rFonts w:ascii="Century" w:hAnsi="Century"/>
          <w:color w:val="000000" w:themeColor="text1"/>
          <w:sz w:val="24"/>
        </w:rPr>
      </w:pPr>
      <w:r>
        <w:rPr>
          <w:rFonts w:ascii="Century" w:hAnsi="Century" w:hint="eastAsia"/>
          <w:color w:val="000000" w:themeColor="text1"/>
          <w:sz w:val="24"/>
        </w:rPr>
        <w:t>落札額に係る経費内訳書</w:t>
      </w:r>
    </w:p>
    <w:p w14:paraId="7F5BB915" w14:textId="77777777" w:rsidR="00B27B53" w:rsidRDefault="00B27B53" w:rsidP="00B27B53">
      <w:pPr>
        <w:jc w:val="center"/>
        <w:rPr>
          <w:rFonts w:ascii="Century" w:hAnsi="Century"/>
          <w:color w:val="000000" w:themeColor="text1"/>
          <w:sz w:val="24"/>
        </w:rPr>
      </w:pPr>
    </w:p>
    <w:tbl>
      <w:tblPr>
        <w:tblW w:w="87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1745"/>
        <w:gridCol w:w="4680"/>
      </w:tblGrid>
      <w:tr w:rsidR="00B27B53" w14:paraId="1BA31B44" w14:textId="77777777" w:rsidTr="006D5E5D">
        <w:tc>
          <w:tcPr>
            <w:tcW w:w="2383" w:type="dxa"/>
            <w:shd w:val="clear" w:color="auto" w:fill="auto"/>
            <w:vAlign w:val="center"/>
          </w:tcPr>
          <w:p w14:paraId="7CD86984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費　　目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54D5C8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合</w:t>
            </w:r>
            <w:r>
              <w:rPr>
                <w:rFonts w:ascii="Century" w:hAnsi="Century" w:hint="eastAsia"/>
                <w:color w:val="000000" w:themeColor="text1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</w:rPr>
              <w:t>計</w:t>
            </w:r>
            <w:r>
              <w:rPr>
                <w:rFonts w:ascii="Century" w:hAnsi="Century" w:hint="eastAsia"/>
                <w:color w:val="000000" w:themeColor="text1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</w:rPr>
              <w:t>額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29A11A0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算　定　基　礎</w:t>
            </w:r>
          </w:p>
        </w:tc>
      </w:tr>
      <w:tr w:rsidR="00B27B53" w14:paraId="254B6446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5B59C828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27B53">
              <w:rPr>
                <w:rFonts w:ascii="Century" w:hAnsi="Century" w:hint="eastAsia"/>
                <w:color w:val="000000" w:themeColor="text1"/>
                <w:spacing w:val="131"/>
                <w:kern w:val="0"/>
                <w:fitText w:val="2100" w:id="-936206586"/>
              </w:rPr>
              <w:t>直接人件</w:t>
            </w:r>
            <w:r w:rsidRPr="00B27B53">
              <w:rPr>
                <w:rFonts w:ascii="Century" w:hAnsi="Century" w:hint="eastAsia"/>
                <w:color w:val="000000" w:themeColor="text1"/>
                <w:spacing w:val="1"/>
                <w:kern w:val="0"/>
                <w:fitText w:val="2100" w:id="-936206586"/>
              </w:rPr>
              <w:t>費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E60992D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</w:tcPr>
          <w:p w14:paraId="7AE10360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14BC34BA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5852A892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27B53">
              <w:rPr>
                <w:rFonts w:ascii="Century" w:hAnsi="Century" w:hint="eastAsia"/>
                <w:color w:val="000000" w:themeColor="text1"/>
                <w:spacing w:val="131"/>
                <w:kern w:val="0"/>
                <w:fitText w:val="2100" w:id="-936206585"/>
              </w:rPr>
              <w:t>直接物品</w:t>
            </w:r>
            <w:r w:rsidRPr="00B27B53">
              <w:rPr>
                <w:rFonts w:ascii="Century" w:hAnsi="Century" w:hint="eastAsia"/>
                <w:color w:val="000000" w:themeColor="text1"/>
                <w:spacing w:val="1"/>
                <w:kern w:val="0"/>
                <w:fitText w:val="2100" w:id="-936206585"/>
              </w:rPr>
              <w:t>費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19CC64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6C312FC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437F0B34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133F7B9F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27B53">
              <w:rPr>
                <w:rFonts w:ascii="Century" w:hAnsi="Century" w:hint="eastAsia"/>
                <w:color w:val="000000" w:themeColor="text1"/>
                <w:spacing w:val="30"/>
                <w:kern w:val="0"/>
                <w:fitText w:val="2100" w:id="-936206584"/>
              </w:rPr>
              <w:t>健康保険料相当</w:t>
            </w:r>
            <w:r w:rsidRPr="00B27B53">
              <w:rPr>
                <w:rFonts w:ascii="Century" w:hAnsi="Century" w:hint="eastAsia"/>
                <w:color w:val="000000" w:themeColor="text1"/>
                <w:fitText w:val="2100" w:id="-936206584"/>
              </w:rPr>
              <w:t>費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5763125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</w:tcPr>
          <w:p w14:paraId="22481CA1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58A0B992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7BDDA500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厚生年金保険料相当費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10FEC69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</w:tcPr>
          <w:p w14:paraId="5AED31EA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7631FE5D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28FBF9FF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27B53">
              <w:rPr>
                <w:rFonts w:ascii="Century" w:hAnsi="Century" w:hint="eastAsia"/>
                <w:color w:val="000000" w:themeColor="text1"/>
                <w:spacing w:val="30"/>
                <w:kern w:val="0"/>
                <w:fitText w:val="2100" w:id="-936206583"/>
              </w:rPr>
              <w:t>労働保険料相当</w:t>
            </w:r>
            <w:r w:rsidRPr="00B27B53">
              <w:rPr>
                <w:rFonts w:ascii="Century" w:hAnsi="Century" w:hint="eastAsia"/>
                <w:color w:val="000000" w:themeColor="text1"/>
                <w:fitText w:val="2100" w:id="-936206583"/>
              </w:rPr>
              <w:t>費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5B26AF3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</w:tcPr>
          <w:p w14:paraId="08BDD8C7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60F52E22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76F83F33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27B53">
              <w:rPr>
                <w:rFonts w:ascii="Century" w:hAnsi="Century" w:hint="eastAsia"/>
                <w:color w:val="000000" w:themeColor="text1"/>
                <w:spacing w:val="84"/>
                <w:kern w:val="0"/>
                <w:fitText w:val="2100" w:id="-936206582"/>
              </w:rPr>
              <w:t>その他の費</w:t>
            </w:r>
            <w:r w:rsidRPr="00B27B53">
              <w:rPr>
                <w:rFonts w:ascii="Century" w:hAnsi="Century" w:hint="eastAsia"/>
                <w:color w:val="000000" w:themeColor="text1"/>
                <w:kern w:val="0"/>
                <w:fitText w:val="2100" w:id="-936206582"/>
              </w:rPr>
              <w:t>用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C9D8CD4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33059E3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078D86EC" w14:textId="77777777" w:rsidTr="006D5E5D">
        <w:trPr>
          <w:trHeight w:val="998"/>
        </w:trPr>
        <w:tc>
          <w:tcPr>
            <w:tcW w:w="2383" w:type="dxa"/>
            <w:shd w:val="clear" w:color="auto" w:fill="auto"/>
            <w:vAlign w:val="center"/>
          </w:tcPr>
          <w:p w14:paraId="38F7B1EF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  <w:spacing w:val="3"/>
                <w:w w:val="76"/>
                <w:kern w:val="0"/>
                <w:fitText w:val="2100" w:id="-936206581"/>
              </w:rPr>
              <w:t>消費税及び地方消費税相当</w:t>
            </w:r>
            <w:r>
              <w:rPr>
                <w:rFonts w:ascii="Century" w:hAnsi="Century" w:hint="eastAsia"/>
                <w:color w:val="000000" w:themeColor="text1"/>
                <w:spacing w:val="-13"/>
                <w:w w:val="76"/>
                <w:kern w:val="0"/>
                <w:fitText w:val="2100" w:id="-936206581"/>
              </w:rPr>
              <w:t>額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171E0AA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8C48E22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  <w:tr w:rsidR="00B27B53" w14:paraId="029DE86F" w14:textId="77777777" w:rsidTr="006D5E5D">
        <w:trPr>
          <w:trHeight w:val="391"/>
        </w:trPr>
        <w:tc>
          <w:tcPr>
            <w:tcW w:w="2383" w:type="dxa"/>
            <w:shd w:val="clear" w:color="auto" w:fill="auto"/>
            <w:vAlign w:val="center"/>
          </w:tcPr>
          <w:p w14:paraId="5B7DB3AB" w14:textId="77777777" w:rsidR="00B27B53" w:rsidRDefault="00B27B53" w:rsidP="006D5E5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合　　計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062A036" w14:textId="77777777" w:rsidR="00B27B53" w:rsidRDefault="00B27B53" w:rsidP="006D5E5D">
            <w:pPr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円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2A8D91C" w14:textId="77777777" w:rsidR="00B27B53" w:rsidRDefault="00B27B53" w:rsidP="006D5E5D">
            <w:pPr>
              <w:spacing w:line="240" w:lineRule="exact"/>
              <w:rPr>
                <w:rFonts w:ascii="Century" w:hAnsi="Century"/>
                <w:color w:val="000000" w:themeColor="text1"/>
                <w:sz w:val="18"/>
              </w:rPr>
            </w:pPr>
          </w:p>
        </w:tc>
      </w:tr>
    </w:tbl>
    <w:p w14:paraId="7EEAA357" w14:textId="77777777" w:rsidR="00B27B53" w:rsidRDefault="00B27B53" w:rsidP="00B27B53">
      <w:pPr>
        <w:autoSpaceDE w:val="0"/>
        <w:autoSpaceDN w:val="0"/>
        <w:adjustRightInd w:val="0"/>
        <w:spacing w:line="220" w:lineRule="exact"/>
        <w:ind w:firstLineChars="100" w:firstLine="16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>備考１　算定基礎の直接人件費の欄は、業務に従事する者の人数、賃金の時間単価及び労働時間数を明示すること。</w:t>
      </w:r>
    </w:p>
    <w:p w14:paraId="0A894995" w14:textId="77777777" w:rsidR="00B27B53" w:rsidRDefault="00B27B53" w:rsidP="00B27B53">
      <w:pPr>
        <w:autoSpaceDE w:val="0"/>
        <w:autoSpaceDN w:val="0"/>
        <w:adjustRightInd w:val="0"/>
        <w:spacing w:line="220" w:lineRule="exact"/>
        <w:ind w:left="800" w:hangingChars="500" w:hanging="80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２　算定基礎の健康保険料相当費及び厚生年金保険料相当費の欄は、業務に従事する者の人数、標準報酬月額、保険料率及び業務に従事する労働時間数を明示すること。</w:t>
      </w:r>
    </w:p>
    <w:p w14:paraId="4FD87ED1" w14:textId="77777777" w:rsidR="00B27B53" w:rsidRDefault="00B27B53" w:rsidP="00B27B53">
      <w:pPr>
        <w:autoSpaceDE w:val="0"/>
        <w:autoSpaceDN w:val="0"/>
        <w:adjustRightInd w:val="0"/>
        <w:spacing w:line="220" w:lineRule="exact"/>
        <w:ind w:left="800" w:hangingChars="500" w:hanging="80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３　労働保険料相当費の項算定基礎の欄は、業務に従事する者の人数、賃金の時間単価、保険料率及び労働時間数を明示すること。</w:t>
      </w:r>
    </w:p>
    <w:p w14:paraId="3F85FFC7" w14:textId="77777777" w:rsidR="00B27B53" w:rsidRDefault="00B27B53" w:rsidP="00B27B53">
      <w:pPr>
        <w:autoSpaceDE w:val="0"/>
        <w:autoSpaceDN w:val="0"/>
        <w:adjustRightInd w:val="0"/>
        <w:spacing w:line="220" w:lineRule="exact"/>
        <w:ind w:left="800" w:hangingChars="500" w:hanging="80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４　算定基礎のその他の費用の欄は、概ね次に掲げるものの合計額を記載することとし、算定基礎は省略できるものとする。</w:t>
      </w:r>
    </w:p>
    <w:p w14:paraId="12B245B2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ア　総合調整費　業務全般の総合調整に関する費用</w:t>
      </w:r>
    </w:p>
    <w:p w14:paraId="5C286D51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イ　福利厚生費　従業員に対する貸与被服、医療等の福利厚生に要する費用</w:t>
      </w:r>
    </w:p>
    <w:p w14:paraId="15F6AA59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ウ　通信交通費　従業員の出張旅費、発注者等への連絡交通費、連絡用車両の損料及び電話、郵便等の通信費</w:t>
      </w:r>
    </w:p>
    <w:p w14:paraId="32F1DDB7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エ　安全管理費　危険防止等の安全管理に関する費用</w:t>
      </w:r>
    </w:p>
    <w:p w14:paraId="03D396F7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オ　技術管理費　資料作成、諸手続、資格等の届出その他の技術管理上必要な費用</w:t>
      </w:r>
    </w:p>
    <w:p w14:paraId="67534145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カ　役員報酬　　取締役及び監査役に対する報酬</w:t>
      </w:r>
    </w:p>
    <w:p w14:paraId="7FFBCF1A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lastRenderedPageBreak/>
        <w:t xml:space="preserve">　　　　キ　従業員給料手当　　現場従業員を除く従業員に対する給料、諸手当及び賞与（賞与引当金繰込額を含む）</w:t>
      </w:r>
    </w:p>
    <w:p w14:paraId="7A450CE1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ク　退職金　　従業員に対する退職金（退職給与引当金繰込額及び退職年金掛金を含む）</w:t>
      </w:r>
    </w:p>
    <w:p w14:paraId="460C1E6E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ケ　修繕維持費　建物、装置等の修繕維持、倉庫物品の管理等に要する費用</w:t>
      </w:r>
    </w:p>
    <w:p w14:paraId="59F84431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コ　事務用品費　事務用消耗品費、固定資産に計上しない事務用備品費及び新聞、参考図書等の購入費</w:t>
      </w:r>
    </w:p>
    <w:p w14:paraId="245CEAA9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サ　通信交通費　通信費、交通費及び旅費</w:t>
      </w:r>
    </w:p>
    <w:p w14:paraId="1BA32D96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シ　光熱水費　電力、水道、ガス等の使用料</w:t>
      </w:r>
    </w:p>
    <w:p w14:paraId="5E18A550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ス　調査研究費　技術研究、開発等に要する費用</w:t>
      </w:r>
    </w:p>
    <w:p w14:paraId="728AD563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セ　広告宣伝費　広告、公告又は宣伝に要する費用</w:t>
      </w:r>
    </w:p>
    <w:p w14:paraId="5329234F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ソ　交際費　得意先、来客等に対する接待、慶弔見舞及び中元歳暮等に要する費用</w:t>
      </w:r>
    </w:p>
    <w:p w14:paraId="6C3C80B6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タ　寄付金　社会福祉団体等に対する寄付金</w:t>
      </w:r>
    </w:p>
    <w:p w14:paraId="6822BF59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チ　地代家賃　事務所、寮、社宅等の借地借家料</w:t>
      </w:r>
    </w:p>
    <w:p w14:paraId="1813B5A4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ツ　減価償却費　減価償却資産に対する償却額</w:t>
      </w:r>
    </w:p>
    <w:p w14:paraId="472C152B" w14:textId="77777777" w:rsidR="00B27B53" w:rsidRDefault="00B27B53" w:rsidP="00B27B53">
      <w:pPr>
        <w:autoSpaceDE w:val="0"/>
        <w:autoSpaceDN w:val="0"/>
        <w:adjustRightInd w:val="0"/>
        <w:spacing w:line="220" w:lineRule="exact"/>
        <w:ind w:left="800" w:hangingChars="500" w:hanging="800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テ　租税公課　事業税、事業所税、不動産取得税、固定資産税等の租税及び道路占用料、身体障害者雇用納付金等の公課</w:t>
      </w:r>
    </w:p>
    <w:p w14:paraId="0134DC21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ト　保険料　火災保険その他の損害保険料</w:t>
      </w:r>
    </w:p>
    <w:p w14:paraId="63ED98BB" w14:textId="77777777" w:rsidR="00B27B53" w:rsidRDefault="00B27B53" w:rsidP="00B27B53">
      <w:pPr>
        <w:autoSpaceDE w:val="0"/>
        <w:autoSpaceDN w:val="0"/>
        <w:adjustRightInd w:val="0"/>
        <w:spacing w:line="220" w:lineRule="exact"/>
        <w:rPr>
          <w:color w:val="000000" w:themeColor="text1"/>
          <w:sz w:val="16"/>
        </w:rPr>
      </w:pPr>
      <w:r>
        <w:rPr>
          <w:rFonts w:hint="eastAsia"/>
          <w:color w:val="000000" w:themeColor="text1"/>
          <w:sz w:val="16"/>
        </w:rPr>
        <w:t xml:space="preserve">　　　　ナ　雑費　上記のいずれにも属さない費用</w:t>
      </w:r>
    </w:p>
    <w:p w14:paraId="74D5988F" w14:textId="77777777" w:rsidR="00965EFB" w:rsidRPr="00B27B53" w:rsidRDefault="00965EFB"/>
    <w:sectPr w:rsidR="00965EFB" w:rsidRPr="00B27B53" w:rsidSect="00B27B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3"/>
    <w:rsid w:val="00965EFB"/>
    <w:rsid w:val="00B27B53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FF6DD"/>
  <w15:chartTrackingRefBased/>
  <w15:docId w15:val="{754233EC-3420-4D6C-AFC8-B73B933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B53"/>
    <w:pPr>
      <w:widowControl w:val="0"/>
      <w:spacing w:after="160" w:line="259" w:lineRule="auto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27B53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5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53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53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53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53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53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53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53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B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7B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7B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7B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7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5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7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53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27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53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27B5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7B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27B5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27B53"/>
    <w:rPr>
      <w:b/>
      <w:bCs/>
      <w:smallCaps/>
      <w:color w:val="2E74B5" w:themeColor="accent1" w:themeShade="BF"/>
      <w:spacing w:val="5"/>
    </w:rPr>
  </w:style>
  <w:style w:type="character" w:styleId="aa">
    <w:name w:val="Hyperlink"/>
    <w:rsid w:val="00B2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広島県庁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 州夏</dc:creator>
  <cp:keywords/>
  <dc:description/>
  <cp:lastModifiedBy>福嶋 州夏</cp:lastModifiedBy>
  <cp:revision>1</cp:revision>
  <dcterms:created xsi:type="dcterms:W3CDTF">2024-08-06T01:31:00Z</dcterms:created>
  <dcterms:modified xsi:type="dcterms:W3CDTF">2024-08-06T01:31:00Z</dcterms:modified>
</cp:coreProperties>
</file>