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F8E" w:rsidRDefault="00233F8E" w:rsidP="005B7525">
      <w:pPr>
        <w:jc w:val="center"/>
      </w:pPr>
      <w:r>
        <w:rPr>
          <w:rFonts w:hint="eastAsia"/>
        </w:rPr>
        <w:t>全面散布できる茎葉処理型除草剤について</w:t>
      </w:r>
    </w:p>
    <w:p w:rsidR="00233F8E" w:rsidRDefault="00233F8E" w:rsidP="00233F8E"/>
    <w:p w:rsidR="00233F8E" w:rsidRPr="00233F8E" w:rsidRDefault="00233F8E" w:rsidP="005B7525">
      <w:pPr>
        <w:ind w:firstLineChars="100" w:firstLine="210"/>
        <w:jc w:val="left"/>
        <w:rPr>
          <w:color w:val="000000" w:themeColor="text1"/>
        </w:rPr>
      </w:pPr>
      <w:r w:rsidRPr="00233F8E">
        <w:rPr>
          <w:color w:val="000000" w:themeColor="text1"/>
        </w:rPr>
        <w:t>近年、だいず圃場で問題となっている帰化アサガオ類をはじめとした難防除雑草等の雑草害による大幅な減収が懸念される場合の対策剤として、だいずの生育期に圃場全面に散布できる一年生雑草に効果のある茎葉処理剤が３剤農薬登録されている。</w:t>
      </w:r>
    </w:p>
    <w:p w:rsidR="00233F8E" w:rsidRPr="00233F8E" w:rsidRDefault="00233F8E" w:rsidP="00233F8E">
      <w:pPr>
        <w:jc w:val="left"/>
        <w:rPr>
          <w:color w:val="000000" w:themeColor="text1"/>
        </w:rPr>
      </w:pPr>
      <w:r w:rsidRPr="00233F8E">
        <w:rPr>
          <w:rFonts w:hint="eastAsia"/>
          <w:color w:val="000000" w:themeColor="text1"/>
        </w:rPr>
        <w:t xml:space="preserve">　これら３剤の使用回数は、全面散布の場合、栽培期間中に１回</w:t>
      </w:r>
      <w:r w:rsidR="006F0C80">
        <w:rPr>
          <w:rFonts w:hint="eastAsia"/>
          <w:color w:val="000000" w:themeColor="text1"/>
        </w:rPr>
        <w:t>ず</w:t>
      </w:r>
      <w:r w:rsidRPr="00233F8E">
        <w:rPr>
          <w:rFonts w:hint="eastAsia"/>
          <w:color w:val="000000" w:themeColor="text1"/>
        </w:rPr>
        <w:t>つとされており、土壌処理剤との体系処理で使用される。各剤で効果が高い雑草の種類が異なるため、雑草の発生状況を確認して使用する。</w:t>
      </w:r>
    </w:p>
    <w:p w:rsidR="00233F8E" w:rsidRPr="00233F8E" w:rsidRDefault="00233F8E" w:rsidP="00233F8E">
      <w:pPr>
        <w:jc w:val="left"/>
        <w:rPr>
          <w:color w:val="000000" w:themeColor="text1"/>
        </w:rPr>
      </w:pPr>
      <w:r w:rsidRPr="00233F8E">
        <w:rPr>
          <w:rFonts w:hint="eastAsia"/>
          <w:color w:val="000000" w:themeColor="text1"/>
        </w:rPr>
        <w:t xml:space="preserve">　また、これら除草剤はいずれも、だいずへの薬害が生じることが確認されている。使用に当たっては薬害を助長しないよう、使用方法に留意する</w:t>
      </w:r>
      <w:r w:rsidR="005B7525">
        <w:rPr>
          <w:rFonts w:hint="eastAsia"/>
          <w:color w:val="000000" w:themeColor="text1"/>
        </w:rPr>
        <w:t>。</w:t>
      </w:r>
    </w:p>
    <w:p w:rsidR="00233F8E" w:rsidRDefault="00233F8E" w:rsidP="00233F8E"/>
    <w:tbl>
      <w:tblPr>
        <w:tblStyle w:val="a3"/>
        <w:tblW w:w="10485" w:type="dxa"/>
        <w:tblLook w:val="04A0" w:firstRow="1" w:lastRow="0" w:firstColumn="1" w:lastColumn="0" w:noHBand="0" w:noVBand="1"/>
      </w:tblPr>
      <w:tblGrid>
        <w:gridCol w:w="1129"/>
        <w:gridCol w:w="3119"/>
        <w:gridCol w:w="3118"/>
        <w:gridCol w:w="3119"/>
      </w:tblGrid>
      <w:tr w:rsidR="00DA166B" w:rsidRPr="00233F8E" w:rsidTr="00DA166B">
        <w:trPr>
          <w:trHeight w:val="375"/>
        </w:trPr>
        <w:tc>
          <w:tcPr>
            <w:tcW w:w="1129" w:type="dxa"/>
            <w:shd w:val="clear" w:color="auto" w:fill="D0CECE" w:themeFill="background2" w:themeFillShade="E6"/>
            <w:noWrap/>
          </w:tcPr>
          <w:p w:rsidR="00DA166B" w:rsidRPr="00233F8E" w:rsidRDefault="00DA166B" w:rsidP="00DA166B">
            <w:pPr>
              <w:jc w:val="center"/>
            </w:pPr>
            <w:r w:rsidRPr="00233F8E">
              <w:rPr>
                <w:rFonts w:hint="eastAsia"/>
              </w:rPr>
              <w:t>除草剤名</w:t>
            </w:r>
          </w:p>
        </w:tc>
        <w:tc>
          <w:tcPr>
            <w:tcW w:w="3119" w:type="dxa"/>
            <w:shd w:val="clear" w:color="auto" w:fill="D0CECE" w:themeFill="background2" w:themeFillShade="E6"/>
            <w:noWrap/>
          </w:tcPr>
          <w:p w:rsidR="00DA166B" w:rsidRPr="00233F8E" w:rsidRDefault="00DA166B" w:rsidP="00DA166B">
            <w:pPr>
              <w:jc w:val="center"/>
            </w:pPr>
            <w:r w:rsidRPr="00233F8E">
              <w:rPr>
                <w:rFonts w:hint="eastAsia"/>
              </w:rPr>
              <w:t>パワーガイザー液剤</w:t>
            </w:r>
          </w:p>
        </w:tc>
        <w:tc>
          <w:tcPr>
            <w:tcW w:w="3118" w:type="dxa"/>
            <w:shd w:val="clear" w:color="auto" w:fill="D0CECE" w:themeFill="background2" w:themeFillShade="E6"/>
            <w:noWrap/>
          </w:tcPr>
          <w:p w:rsidR="00DA166B" w:rsidRPr="00233F8E" w:rsidRDefault="00DA166B" w:rsidP="00DA166B">
            <w:pPr>
              <w:jc w:val="center"/>
            </w:pPr>
            <w:r w:rsidRPr="00233F8E">
              <w:rPr>
                <w:rFonts w:hint="eastAsia"/>
              </w:rPr>
              <w:t>大豆バサグラン液剤</w:t>
            </w:r>
          </w:p>
        </w:tc>
        <w:tc>
          <w:tcPr>
            <w:tcW w:w="3119" w:type="dxa"/>
            <w:shd w:val="clear" w:color="auto" w:fill="D0CECE" w:themeFill="background2" w:themeFillShade="E6"/>
            <w:noWrap/>
          </w:tcPr>
          <w:p w:rsidR="00DA166B" w:rsidRPr="00233F8E" w:rsidRDefault="00DA166B" w:rsidP="00DA166B">
            <w:pPr>
              <w:jc w:val="center"/>
            </w:pPr>
            <w:r w:rsidRPr="00233F8E">
              <w:rPr>
                <w:rFonts w:hint="eastAsia"/>
              </w:rPr>
              <w:t>アタックショット乳剤</w:t>
            </w:r>
          </w:p>
        </w:tc>
      </w:tr>
      <w:tr w:rsidR="00DA166B" w:rsidRPr="00233F8E" w:rsidTr="00DA166B">
        <w:trPr>
          <w:trHeight w:val="375"/>
        </w:trPr>
        <w:tc>
          <w:tcPr>
            <w:tcW w:w="1129" w:type="dxa"/>
            <w:noWrap/>
            <w:hideMark/>
          </w:tcPr>
          <w:p w:rsidR="00DA166B" w:rsidRPr="00233F8E" w:rsidRDefault="00DA166B" w:rsidP="00DA166B">
            <w:pPr>
              <w:jc w:val="center"/>
            </w:pPr>
            <w:r w:rsidRPr="00233F8E">
              <w:rPr>
                <w:rFonts w:hint="eastAsia"/>
              </w:rPr>
              <w:t>成分名</w:t>
            </w:r>
          </w:p>
        </w:tc>
        <w:tc>
          <w:tcPr>
            <w:tcW w:w="3119" w:type="dxa"/>
            <w:noWrap/>
            <w:hideMark/>
          </w:tcPr>
          <w:p w:rsidR="00DA166B" w:rsidRPr="00DA166B" w:rsidRDefault="00DA166B" w:rsidP="00DA166B">
            <w:pPr>
              <w:jc w:val="center"/>
              <w:rPr>
                <w:sz w:val="20"/>
              </w:rPr>
            </w:pPr>
            <w:r w:rsidRPr="00DA166B">
              <w:rPr>
                <w:rFonts w:hint="eastAsia"/>
                <w:sz w:val="20"/>
              </w:rPr>
              <w:t>イマザモックスアンモニウム塩</w:t>
            </w:r>
          </w:p>
        </w:tc>
        <w:tc>
          <w:tcPr>
            <w:tcW w:w="3118" w:type="dxa"/>
            <w:noWrap/>
            <w:hideMark/>
          </w:tcPr>
          <w:p w:rsidR="00DA166B" w:rsidRPr="00233F8E" w:rsidRDefault="00DA166B" w:rsidP="00DA166B">
            <w:pPr>
              <w:jc w:val="center"/>
            </w:pPr>
            <w:r w:rsidRPr="00233F8E">
              <w:rPr>
                <w:rFonts w:hint="eastAsia"/>
              </w:rPr>
              <w:t>ベンタゾン</w:t>
            </w:r>
          </w:p>
        </w:tc>
        <w:tc>
          <w:tcPr>
            <w:tcW w:w="3119" w:type="dxa"/>
            <w:noWrap/>
            <w:hideMark/>
          </w:tcPr>
          <w:p w:rsidR="00DA166B" w:rsidRPr="00233F8E" w:rsidRDefault="00DA166B" w:rsidP="00DA166B">
            <w:pPr>
              <w:jc w:val="center"/>
            </w:pPr>
            <w:r w:rsidRPr="00233F8E">
              <w:rPr>
                <w:rFonts w:hint="eastAsia"/>
              </w:rPr>
              <w:t>フルチアセットメチル</w:t>
            </w:r>
          </w:p>
        </w:tc>
      </w:tr>
      <w:tr w:rsidR="00DA166B" w:rsidRPr="00233F8E" w:rsidTr="00DA166B">
        <w:trPr>
          <w:trHeight w:val="375"/>
        </w:trPr>
        <w:tc>
          <w:tcPr>
            <w:tcW w:w="1129" w:type="dxa"/>
            <w:vMerge w:val="restart"/>
            <w:noWrap/>
            <w:vAlign w:val="center"/>
            <w:hideMark/>
          </w:tcPr>
          <w:p w:rsidR="00DA166B" w:rsidRPr="00233F8E" w:rsidRDefault="00DA166B" w:rsidP="00DA166B">
            <w:pPr>
              <w:jc w:val="center"/>
            </w:pPr>
            <w:r w:rsidRPr="00233F8E">
              <w:rPr>
                <w:rFonts w:hint="eastAsia"/>
              </w:rPr>
              <w:t>散布時期</w:t>
            </w:r>
          </w:p>
        </w:tc>
        <w:tc>
          <w:tcPr>
            <w:tcW w:w="3119" w:type="dxa"/>
            <w:noWrap/>
            <w:hideMark/>
          </w:tcPr>
          <w:p w:rsidR="00DA166B" w:rsidRPr="00233F8E" w:rsidRDefault="00DA166B" w:rsidP="00DA166B">
            <w:pPr>
              <w:jc w:val="center"/>
            </w:pPr>
            <w:r w:rsidRPr="00233F8E">
              <w:rPr>
                <w:rFonts w:hint="eastAsia"/>
              </w:rPr>
              <w:t>大豆の出芽直前～３葉期</w:t>
            </w:r>
          </w:p>
        </w:tc>
        <w:tc>
          <w:tcPr>
            <w:tcW w:w="6237" w:type="dxa"/>
            <w:gridSpan w:val="2"/>
            <w:noWrap/>
            <w:hideMark/>
          </w:tcPr>
          <w:p w:rsidR="00DA166B" w:rsidRPr="00233F8E" w:rsidRDefault="00DA166B" w:rsidP="00DA166B">
            <w:pPr>
              <w:jc w:val="center"/>
            </w:pPr>
            <w:r w:rsidRPr="00233F8E">
              <w:rPr>
                <w:rFonts w:hint="eastAsia"/>
              </w:rPr>
              <w:t>大豆の２葉期～開花前</w:t>
            </w:r>
          </w:p>
        </w:tc>
      </w:tr>
      <w:tr w:rsidR="00DA166B" w:rsidRPr="00233F8E" w:rsidTr="00DA166B">
        <w:trPr>
          <w:trHeight w:val="375"/>
        </w:trPr>
        <w:tc>
          <w:tcPr>
            <w:tcW w:w="1129" w:type="dxa"/>
            <w:vMerge/>
            <w:noWrap/>
            <w:hideMark/>
          </w:tcPr>
          <w:p w:rsidR="00DA166B" w:rsidRPr="00233F8E" w:rsidRDefault="00DA166B" w:rsidP="00DA166B">
            <w:pPr>
              <w:jc w:val="center"/>
            </w:pPr>
          </w:p>
        </w:tc>
        <w:tc>
          <w:tcPr>
            <w:tcW w:w="3119" w:type="dxa"/>
            <w:noWrap/>
            <w:vAlign w:val="center"/>
            <w:hideMark/>
          </w:tcPr>
          <w:p w:rsidR="00DA166B" w:rsidRPr="00233F8E" w:rsidRDefault="00DA166B" w:rsidP="00DA166B">
            <w:pPr>
              <w:jc w:val="center"/>
            </w:pPr>
            <w:r w:rsidRPr="00233F8E">
              <w:rPr>
                <w:rFonts w:hint="eastAsia"/>
              </w:rPr>
              <w:t>（雑草の発生始期～２葉期）</w:t>
            </w:r>
          </w:p>
        </w:tc>
        <w:tc>
          <w:tcPr>
            <w:tcW w:w="3118" w:type="dxa"/>
            <w:noWrap/>
            <w:vAlign w:val="center"/>
            <w:hideMark/>
          </w:tcPr>
          <w:p w:rsidR="00815FF5" w:rsidRDefault="00DA166B" w:rsidP="00815FF5">
            <w:pPr>
              <w:jc w:val="center"/>
            </w:pPr>
            <w:r w:rsidRPr="00233F8E">
              <w:rPr>
                <w:rFonts w:hint="eastAsia"/>
              </w:rPr>
              <w:t>（雑草の生育初期～６葉期）</w:t>
            </w:r>
          </w:p>
          <w:p w:rsidR="00815FF5" w:rsidRPr="00233F8E" w:rsidRDefault="00815FF5" w:rsidP="00815FF5">
            <w:pPr>
              <w:jc w:val="center"/>
            </w:pPr>
            <w:r w:rsidRPr="00815FF5">
              <w:rPr>
                <w:rFonts w:hint="eastAsia"/>
              </w:rPr>
              <w:t>但し収穫</w:t>
            </w:r>
            <w:r w:rsidRPr="00815FF5">
              <w:t>45日前まで</w:t>
            </w:r>
          </w:p>
        </w:tc>
        <w:tc>
          <w:tcPr>
            <w:tcW w:w="3119" w:type="dxa"/>
            <w:noWrap/>
            <w:vAlign w:val="center"/>
            <w:hideMark/>
          </w:tcPr>
          <w:p w:rsidR="00DA166B" w:rsidRDefault="00DA166B" w:rsidP="006D2A9C">
            <w:pPr>
              <w:ind w:leftChars="-120" w:rightChars="-51" w:right="-107" w:hangingChars="120" w:hanging="252"/>
              <w:jc w:val="center"/>
            </w:pPr>
            <w:r w:rsidRPr="00233F8E">
              <w:rPr>
                <w:rFonts w:hint="eastAsia"/>
              </w:rPr>
              <w:t>（雑草発生期（草丈10㎝以下））</w:t>
            </w:r>
          </w:p>
          <w:p w:rsidR="006261F2" w:rsidRPr="006261F2" w:rsidRDefault="006261F2" w:rsidP="006D2A9C">
            <w:pPr>
              <w:ind w:leftChars="-120" w:rightChars="-51" w:right="-107" w:hangingChars="120" w:hanging="252"/>
              <w:jc w:val="center"/>
            </w:pPr>
            <w:r w:rsidRPr="006261F2">
              <w:rPr>
                <w:rFonts w:hint="eastAsia"/>
              </w:rPr>
              <w:t>但し収穫</w:t>
            </w:r>
            <w:r w:rsidRPr="006261F2">
              <w:t>45日前まで</w:t>
            </w:r>
          </w:p>
        </w:tc>
      </w:tr>
      <w:tr w:rsidR="00DA166B" w:rsidRPr="00233F8E" w:rsidTr="00DA166B">
        <w:trPr>
          <w:trHeight w:val="375"/>
        </w:trPr>
        <w:tc>
          <w:tcPr>
            <w:tcW w:w="1129" w:type="dxa"/>
            <w:noWrap/>
            <w:hideMark/>
          </w:tcPr>
          <w:p w:rsidR="00DA166B" w:rsidRPr="00233F8E" w:rsidRDefault="00DA166B" w:rsidP="00DA166B">
            <w:pPr>
              <w:jc w:val="center"/>
            </w:pPr>
            <w:r w:rsidRPr="00233F8E">
              <w:rPr>
                <w:rFonts w:hint="eastAsia"/>
              </w:rPr>
              <w:t>散布量</w:t>
            </w:r>
          </w:p>
        </w:tc>
        <w:tc>
          <w:tcPr>
            <w:tcW w:w="3119" w:type="dxa"/>
            <w:noWrap/>
            <w:hideMark/>
          </w:tcPr>
          <w:p w:rsidR="00DA166B" w:rsidRPr="00233F8E" w:rsidRDefault="00DA166B" w:rsidP="00DA166B">
            <w:pPr>
              <w:jc w:val="center"/>
            </w:pPr>
            <w:r w:rsidRPr="00233F8E">
              <w:rPr>
                <w:rFonts w:hint="eastAsia"/>
              </w:rPr>
              <w:t>200～300ml/10a</w:t>
            </w:r>
          </w:p>
        </w:tc>
        <w:tc>
          <w:tcPr>
            <w:tcW w:w="3118" w:type="dxa"/>
            <w:noWrap/>
            <w:hideMark/>
          </w:tcPr>
          <w:p w:rsidR="00DA166B" w:rsidRPr="00233F8E" w:rsidRDefault="00DA166B" w:rsidP="00DA166B">
            <w:pPr>
              <w:jc w:val="center"/>
            </w:pPr>
            <w:r w:rsidRPr="00233F8E">
              <w:rPr>
                <w:rFonts w:hint="eastAsia"/>
              </w:rPr>
              <w:t>100～150ml/10a</w:t>
            </w:r>
          </w:p>
        </w:tc>
        <w:tc>
          <w:tcPr>
            <w:tcW w:w="3119" w:type="dxa"/>
            <w:noWrap/>
            <w:hideMark/>
          </w:tcPr>
          <w:p w:rsidR="00DA166B" w:rsidRPr="00233F8E" w:rsidRDefault="00DA166B" w:rsidP="00DA166B">
            <w:pPr>
              <w:jc w:val="center"/>
            </w:pPr>
            <w:r w:rsidRPr="00233F8E">
              <w:rPr>
                <w:rFonts w:hint="eastAsia"/>
              </w:rPr>
              <w:t>30～50ml/10a</w:t>
            </w:r>
          </w:p>
        </w:tc>
      </w:tr>
    </w:tbl>
    <w:p w:rsidR="00F56594" w:rsidRDefault="006D2A9C" w:rsidP="00233F8E"/>
    <w:tbl>
      <w:tblPr>
        <w:tblStyle w:val="a3"/>
        <w:tblW w:w="0" w:type="auto"/>
        <w:tblLook w:val="04A0" w:firstRow="1" w:lastRow="0" w:firstColumn="1" w:lastColumn="0" w:noHBand="0" w:noVBand="1"/>
      </w:tblPr>
      <w:tblGrid>
        <w:gridCol w:w="1129"/>
        <w:gridCol w:w="9327"/>
      </w:tblGrid>
      <w:tr w:rsidR="00233F8E" w:rsidRPr="00233F8E" w:rsidTr="00DA166B">
        <w:trPr>
          <w:trHeight w:val="375"/>
        </w:trPr>
        <w:tc>
          <w:tcPr>
            <w:tcW w:w="1129" w:type="dxa"/>
            <w:vMerge w:val="restart"/>
            <w:noWrap/>
            <w:vAlign w:val="center"/>
            <w:hideMark/>
          </w:tcPr>
          <w:p w:rsidR="00233F8E" w:rsidRPr="00233F8E" w:rsidRDefault="00233F8E" w:rsidP="00DA166B">
            <w:pPr>
              <w:jc w:val="center"/>
            </w:pPr>
            <w:r w:rsidRPr="00233F8E">
              <w:rPr>
                <w:rFonts w:hint="eastAsia"/>
              </w:rPr>
              <w:t>共通</w:t>
            </w:r>
          </w:p>
        </w:tc>
        <w:tc>
          <w:tcPr>
            <w:tcW w:w="9327" w:type="dxa"/>
            <w:noWrap/>
            <w:hideMark/>
          </w:tcPr>
          <w:p w:rsidR="00233F8E" w:rsidRPr="00233F8E" w:rsidRDefault="00233F8E" w:rsidP="00233F8E">
            <w:r w:rsidRPr="00233F8E">
              <w:rPr>
                <w:rFonts w:hint="eastAsia"/>
              </w:rPr>
              <w:t>周辺作物への飛散に注意し、除草剤用のドリフト低減ノズルを用いて均一に散布する</w:t>
            </w:r>
          </w:p>
        </w:tc>
      </w:tr>
      <w:tr w:rsidR="00233F8E" w:rsidRPr="00233F8E" w:rsidTr="00DA166B">
        <w:trPr>
          <w:trHeight w:val="375"/>
        </w:trPr>
        <w:tc>
          <w:tcPr>
            <w:tcW w:w="1129" w:type="dxa"/>
            <w:vMerge/>
            <w:hideMark/>
          </w:tcPr>
          <w:p w:rsidR="00233F8E" w:rsidRPr="00233F8E" w:rsidRDefault="00233F8E"/>
        </w:tc>
        <w:tc>
          <w:tcPr>
            <w:tcW w:w="9327" w:type="dxa"/>
            <w:noWrap/>
            <w:hideMark/>
          </w:tcPr>
          <w:p w:rsidR="00233F8E" w:rsidRPr="00233F8E" w:rsidRDefault="00233F8E">
            <w:r w:rsidRPr="00233F8E">
              <w:rPr>
                <w:rFonts w:hint="eastAsia"/>
              </w:rPr>
              <w:t>雑草の生育が進むと効果が低下するので使用時期を逃さない</w:t>
            </w:r>
          </w:p>
        </w:tc>
      </w:tr>
      <w:tr w:rsidR="00233F8E" w:rsidRPr="00233F8E" w:rsidTr="00DA166B">
        <w:trPr>
          <w:trHeight w:val="375"/>
        </w:trPr>
        <w:tc>
          <w:tcPr>
            <w:tcW w:w="1129" w:type="dxa"/>
            <w:vMerge/>
            <w:hideMark/>
          </w:tcPr>
          <w:p w:rsidR="00233F8E" w:rsidRPr="00233F8E" w:rsidRDefault="00233F8E"/>
        </w:tc>
        <w:tc>
          <w:tcPr>
            <w:tcW w:w="9327" w:type="dxa"/>
            <w:noWrap/>
            <w:hideMark/>
          </w:tcPr>
          <w:p w:rsidR="00233F8E" w:rsidRPr="00233F8E" w:rsidRDefault="00233F8E">
            <w:r w:rsidRPr="00233F8E">
              <w:rPr>
                <w:rFonts w:hint="eastAsia"/>
              </w:rPr>
              <w:t>重複散布はしない</w:t>
            </w:r>
          </w:p>
        </w:tc>
      </w:tr>
    </w:tbl>
    <w:p w:rsidR="00233F8E" w:rsidRDefault="00233F8E" w:rsidP="00233F8E"/>
    <w:tbl>
      <w:tblPr>
        <w:tblStyle w:val="a3"/>
        <w:tblW w:w="0" w:type="auto"/>
        <w:tblLook w:val="04A0" w:firstRow="1" w:lastRow="0" w:firstColumn="1" w:lastColumn="0" w:noHBand="0" w:noVBand="1"/>
      </w:tblPr>
      <w:tblGrid>
        <w:gridCol w:w="1129"/>
        <w:gridCol w:w="3261"/>
        <w:gridCol w:w="2976"/>
        <w:gridCol w:w="3090"/>
      </w:tblGrid>
      <w:tr w:rsidR="00233F8E" w:rsidRPr="00233F8E" w:rsidTr="005B7525">
        <w:trPr>
          <w:trHeight w:val="1125"/>
        </w:trPr>
        <w:tc>
          <w:tcPr>
            <w:tcW w:w="1129" w:type="dxa"/>
            <w:noWrap/>
            <w:vAlign w:val="center"/>
            <w:hideMark/>
          </w:tcPr>
          <w:p w:rsidR="00233F8E" w:rsidRPr="00233F8E" w:rsidRDefault="00233F8E" w:rsidP="005B7525">
            <w:pPr>
              <w:jc w:val="center"/>
            </w:pPr>
            <w:r w:rsidRPr="00233F8E">
              <w:rPr>
                <w:rFonts w:hint="eastAsia"/>
              </w:rPr>
              <w:t>効果</w:t>
            </w:r>
          </w:p>
        </w:tc>
        <w:tc>
          <w:tcPr>
            <w:tcW w:w="3261" w:type="dxa"/>
            <w:hideMark/>
          </w:tcPr>
          <w:p w:rsidR="00233F8E" w:rsidRPr="00233F8E" w:rsidRDefault="00233F8E">
            <w:r w:rsidRPr="00233F8E">
              <w:rPr>
                <w:rFonts w:hint="eastAsia"/>
              </w:rPr>
              <w:t>効果発現はやや遅効的で、薬剤散布後１週間程度で変色し、２～３週間で枯死する</w:t>
            </w:r>
          </w:p>
        </w:tc>
        <w:tc>
          <w:tcPr>
            <w:tcW w:w="2976" w:type="dxa"/>
            <w:hideMark/>
          </w:tcPr>
          <w:p w:rsidR="00233F8E" w:rsidRPr="00233F8E" w:rsidRDefault="00233F8E">
            <w:r w:rsidRPr="00233F8E">
              <w:rPr>
                <w:rFonts w:hint="eastAsia"/>
              </w:rPr>
              <w:t>散布２～３日後に黄化・褐変し、８～９日後に枯死する</w:t>
            </w:r>
          </w:p>
        </w:tc>
        <w:tc>
          <w:tcPr>
            <w:tcW w:w="3090" w:type="dxa"/>
            <w:hideMark/>
          </w:tcPr>
          <w:p w:rsidR="00233F8E" w:rsidRPr="00233F8E" w:rsidRDefault="00233F8E">
            <w:r w:rsidRPr="00233F8E">
              <w:rPr>
                <w:rFonts w:hint="eastAsia"/>
              </w:rPr>
              <w:t>薬剤散布翌日には効果が発現し、速やかに枯死、生育抑制に至る</w:t>
            </w:r>
          </w:p>
        </w:tc>
      </w:tr>
      <w:tr w:rsidR="00233F8E" w:rsidRPr="00233F8E" w:rsidTr="005B7525">
        <w:trPr>
          <w:trHeight w:val="5823"/>
        </w:trPr>
        <w:tc>
          <w:tcPr>
            <w:tcW w:w="1129" w:type="dxa"/>
            <w:noWrap/>
            <w:vAlign w:val="center"/>
            <w:hideMark/>
          </w:tcPr>
          <w:p w:rsidR="00233F8E" w:rsidRPr="00233F8E" w:rsidRDefault="00233F8E" w:rsidP="005B7525">
            <w:pPr>
              <w:jc w:val="center"/>
            </w:pPr>
            <w:r w:rsidRPr="00233F8E">
              <w:rPr>
                <w:rFonts w:hint="eastAsia"/>
              </w:rPr>
              <w:t>注意事項</w:t>
            </w:r>
          </w:p>
        </w:tc>
        <w:tc>
          <w:tcPr>
            <w:tcW w:w="3261" w:type="dxa"/>
            <w:hideMark/>
          </w:tcPr>
          <w:p w:rsidR="00233F8E" w:rsidRDefault="00233F8E" w:rsidP="00233F8E">
            <w:r w:rsidRPr="00233F8E">
              <w:rPr>
                <w:rFonts w:hint="eastAsia"/>
              </w:rPr>
              <w:t>・土壌が極端に乾燥している場合には効果が劣る恐れがあるので、適湿時に散布する</w:t>
            </w:r>
          </w:p>
          <w:p w:rsidR="00AD3AA8" w:rsidRPr="00233F8E" w:rsidRDefault="00AD3AA8" w:rsidP="00233F8E">
            <w:r w:rsidRPr="00233F8E">
              <w:rPr>
                <w:rFonts w:hint="eastAsia"/>
              </w:rPr>
              <w:t>・散布後に降雨が予想される場合は使用しない</w:t>
            </w:r>
          </w:p>
        </w:tc>
        <w:tc>
          <w:tcPr>
            <w:tcW w:w="2976" w:type="dxa"/>
            <w:hideMark/>
          </w:tcPr>
          <w:p w:rsidR="00233F8E" w:rsidRDefault="00233F8E">
            <w:r w:rsidRPr="00233F8E">
              <w:rPr>
                <w:rFonts w:hint="eastAsia"/>
              </w:rPr>
              <w:t>・イネ科雑草には効果がないので、有効な除草剤との体系処理を行う</w:t>
            </w:r>
          </w:p>
          <w:p w:rsidR="00AD3AA8" w:rsidRDefault="00AD3AA8">
            <w:r w:rsidRPr="00233F8E">
              <w:rPr>
                <w:rFonts w:hint="eastAsia"/>
              </w:rPr>
              <w:t>・アカザ、シロザ、イヌビユ、ホソアオゲイトウ等の雑草には低薬量では効果が劣るため、これら雑草の優占圃場では全面散布ではなく、畝間雑草茎葉散布で使用する</w:t>
            </w:r>
          </w:p>
          <w:p w:rsidR="00AD3AA8" w:rsidRDefault="00AD3AA8">
            <w:r w:rsidRPr="00233F8E">
              <w:rPr>
                <w:rFonts w:hint="eastAsia"/>
              </w:rPr>
              <w:t>・エノキグサなどトウダイグサ科の雑草には効果が劣るので、この雑草の優占圃場では使用しない</w:t>
            </w:r>
          </w:p>
          <w:p w:rsidR="00AD3AA8" w:rsidRPr="00233F8E" w:rsidRDefault="00AD3AA8">
            <w:r w:rsidRPr="00233F8E">
              <w:rPr>
                <w:rFonts w:hint="eastAsia"/>
              </w:rPr>
              <w:t>・散布後、曇天、降雨日が続くと効果が劣ることがある</w:t>
            </w:r>
          </w:p>
        </w:tc>
        <w:tc>
          <w:tcPr>
            <w:tcW w:w="3090" w:type="dxa"/>
            <w:hideMark/>
          </w:tcPr>
          <w:p w:rsidR="00233F8E" w:rsidRDefault="00233F8E">
            <w:r w:rsidRPr="00233F8E">
              <w:rPr>
                <w:rFonts w:hint="eastAsia"/>
              </w:rPr>
              <w:t>・イネ科、アメリカセンダングサ、タデ類が発生する圃場では効果が劣るため、これら雑草に有効な除草剤との体系処理をする</w:t>
            </w:r>
          </w:p>
          <w:p w:rsidR="00AD3AA8" w:rsidRDefault="00AD3AA8">
            <w:r w:rsidRPr="00233F8E">
              <w:rPr>
                <w:rFonts w:hint="eastAsia"/>
              </w:rPr>
              <w:t>・キク科、カヤツリグサ科には効果が劣る場合があるので、それら雑草が優占する圃場では使用を避ける</w:t>
            </w:r>
          </w:p>
          <w:p w:rsidR="00AD3AA8" w:rsidRPr="00233F8E" w:rsidRDefault="00AD3AA8">
            <w:r w:rsidRPr="00233F8E">
              <w:rPr>
                <w:rFonts w:hint="eastAsia"/>
              </w:rPr>
              <w:t>・散布後６時間以内の降雨は効果が減ずることがあるので、天候に留意する</w:t>
            </w:r>
          </w:p>
        </w:tc>
      </w:tr>
    </w:tbl>
    <w:p w:rsidR="00AD3AA8" w:rsidRDefault="00AD3AA8"/>
    <w:tbl>
      <w:tblPr>
        <w:tblStyle w:val="a3"/>
        <w:tblW w:w="0" w:type="auto"/>
        <w:tblLook w:val="04A0" w:firstRow="1" w:lastRow="0" w:firstColumn="1" w:lastColumn="0" w:noHBand="0" w:noVBand="1"/>
      </w:tblPr>
      <w:tblGrid>
        <w:gridCol w:w="1129"/>
        <w:gridCol w:w="3261"/>
        <w:gridCol w:w="2976"/>
        <w:gridCol w:w="3090"/>
      </w:tblGrid>
      <w:tr w:rsidR="00DA166B" w:rsidRPr="00233F8E" w:rsidTr="00DA166B">
        <w:trPr>
          <w:trHeight w:val="423"/>
        </w:trPr>
        <w:tc>
          <w:tcPr>
            <w:tcW w:w="1129" w:type="dxa"/>
            <w:shd w:val="clear" w:color="auto" w:fill="D0CECE" w:themeFill="background2" w:themeFillShade="E6"/>
            <w:noWrap/>
          </w:tcPr>
          <w:p w:rsidR="00DA166B" w:rsidRPr="00233F8E" w:rsidRDefault="00DA166B" w:rsidP="00DA166B">
            <w:pPr>
              <w:jc w:val="center"/>
            </w:pPr>
            <w:r w:rsidRPr="00233F8E">
              <w:rPr>
                <w:rFonts w:hint="eastAsia"/>
              </w:rPr>
              <w:t>除草剤名</w:t>
            </w:r>
          </w:p>
        </w:tc>
        <w:tc>
          <w:tcPr>
            <w:tcW w:w="3261" w:type="dxa"/>
            <w:shd w:val="clear" w:color="auto" w:fill="D0CECE" w:themeFill="background2" w:themeFillShade="E6"/>
            <w:noWrap/>
          </w:tcPr>
          <w:p w:rsidR="00DA166B" w:rsidRPr="00233F8E" w:rsidRDefault="00DA166B" w:rsidP="00DA166B">
            <w:pPr>
              <w:jc w:val="center"/>
            </w:pPr>
            <w:r w:rsidRPr="00233F8E">
              <w:rPr>
                <w:rFonts w:hint="eastAsia"/>
              </w:rPr>
              <w:t>パワーガイザー液剤</w:t>
            </w:r>
          </w:p>
        </w:tc>
        <w:tc>
          <w:tcPr>
            <w:tcW w:w="2976" w:type="dxa"/>
            <w:shd w:val="clear" w:color="auto" w:fill="D0CECE" w:themeFill="background2" w:themeFillShade="E6"/>
            <w:noWrap/>
          </w:tcPr>
          <w:p w:rsidR="00DA166B" w:rsidRPr="00233F8E" w:rsidRDefault="00DA166B" w:rsidP="00DA166B">
            <w:pPr>
              <w:jc w:val="center"/>
            </w:pPr>
            <w:r w:rsidRPr="00233F8E">
              <w:rPr>
                <w:rFonts w:hint="eastAsia"/>
              </w:rPr>
              <w:t>大豆バサグラン液剤</w:t>
            </w:r>
          </w:p>
        </w:tc>
        <w:tc>
          <w:tcPr>
            <w:tcW w:w="3090" w:type="dxa"/>
            <w:shd w:val="clear" w:color="auto" w:fill="D0CECE" w:themeFill="background2" w:themeFillShade="E6"/>
            <w:noWrap/>
          </w:tcPr>
          <w:p w:rsidR="00DA166B" w:rsidRPr="00233F8E" w:rsidRDefault="00DA166B" w:rsidP="00DA166B">
            <w:pPr>
              <w:jc w:val="center"/>
            </w:pPr>
            <w:r w:rsidRPr="00233F8E">
              <w:rPr>
                <w:rFonts w:hint="eastAsia"/>
              </w:rPr>
              <w:t>アタックショット乳剤</w:t>
            </w:r>
          </w:p>
        </w:tc>
      </w:tr>
      <w:tr w:rsidR="00DA166B" w:rsidRPr="00233F8E" w:rsidTr="005B7525">
        <w:trPr>
          <w:trHeight w:val="720"/>
        </w:trPr>
        <w:tc>
          <w:tcPr>
            <w:tcW w:w="1129" w:type="dxa"/>
            <w:noWrap/>
            <w:vAlign w:val="center"/>
            <w:hideMark/>
          </w:tcPr>
          <w:p w:rsidR="00DA166B" w:rsidRPr="00233F8E" w:rsidRDefault="00DA166B" w:rsidP="005B7525">
            <w:pPr>
              <w:jc w:val="center"/>
            </w:pPr>
            <w:r w:rsidRPr="00233F8E">
              <w:rPr>
                <w:rFonts w:hint="eastAsia"/>
              </w:rPr>
              <w:t>薬害症状</w:t>
            </w:r>
          </w:p>
        </w:tc>
        <w:tc>
          <w:tcPr>
            <w:tcW w:w="3261" w:type="dxa"/>
            <w:noWrap/>
            <w:vAlign w:val="center"/>
            <w:hideMark/>
          </w:tcPr>
          <w:p w:rsidR="00DA166B" w:rsidRPr="00233F8E" w:rsidRDefault="00DA166B" w:rsidP="00DA166B">
            <w:pPr>
              <w:jc w:val="center"/>
            </w:pPr>
            <w:r w:rsidRPr="00233F8E">
              <w:rPr>
                <w:rFonts w:hint="eastAsia"/>
              </w:rPr>
              <w:t>黄化、縮葉、生育抑制等　等</w:t>
            </w:r>
          </w:p>
        </w:tc>
        <w:tc>
          <w:tcPr>
            <w:tcW w:w="2976" w:type="dxa"/>
            <w:noWrap/>
            <w:vAlign w:val="center"/>
            <w:hideMark/>
          </w:tcPr>
          <w:p w:rsidR="00DA166B" w:rsidRDefault="00DA166B" w:rsidP="00DA166B">
            <w:pPr>
              <w:jc w:val="center"/>
            </w:pPr>
            <w:r w:rsidRPr="00233F8E">
              <w:rPr>
                <w:rFonts w:hint="eastAsia"/>
              </w:rPr>
              <w:t>薬斑・色抜け、縮葉、</w:t>
            </w:r>
          </w:p>
          <w:p w:rsidR="00DA166B" w:rsidRPr="00233F8E" w:rsidRDefault="00DA166B" w:rsidP="00DA166B">
            <w:pPr>
              <w:jc w:val="center"/>
            </w:pPr>
            <w:r w:rsidRPr="00233F8E">
              <w:rPr>
                <w:rFonts w:hint="eastAsia"/>
              </w:rPr>
              <w:t>黄化・褐変　等</w:t>
            </w:r>
          </w:p>
        </w:tc>
        <w:tc>
          <w:tcPr>
            <w:tcW w:w="3090" w:type="dxa"/>
            <w:noWrap/>
            <w:vAlign w:val="center"/>
            <w:hideMark/>
          </w:tcPr>
          <w:p w:rsidR="00DA166B" w:rsidRPr="00233F8E" w:rsidRDefault="00DA166B" w:rsidP="00DA166B">
            <w:pPr>
              <w:jc w:val="center"/>
            </w:pPr>
            <w:r w:rsidRPr="00233F8E">
              <w:rPr>
                <w:rFonts w:hint="eastAsia"/>
              </w:rPr>
              <w:t>褐変、縮葉、白化　等</w:t>
            </w:r>
          </w:p>
        </w:tc>
      </w:tr>
      <w:tr w:rsidR="00DA166B" w:rsidRPr="00233F8E" w:rsidTr="005B7525">
        <w:trPr>
          <w:trHeight w:val="1500"/>
        </w:trPr>
        <w:tc>
          <w:tcPr>
            <w:tcW w:w="1129" w:type="dxa"/>
            <w:noWrap/>
            <w:vAlign w:val="center"/>
            <w:hideMark/>
          </w:tcPr>
          <w:p w:rsidR="00DA166B" w:rsidRPr="00233F8E" w:rsidRDefault="00DA166B" w:rsidP="005B7525">
            <w:pPr>
              <w:jc w:val="center"/>
            </w:pPr>
            <w:r w:rsidRPr="00233F8E">
              <w:rPr>
                <w:rFonts w:hint="eastAsia"/>
              </w:rPr>
              <w:t>注意事項</w:t>
            </w:r>
          </w:p>
        </w:tc>
        <w:tc>
          <w:tcPr>
            <w:tcW w:w="3261" w:type="dxa"/>
            <w:hideMark/>
          </w:tcPr>
          <w:p w:rsidR="00DA166B" w:rsidRDefault="00DA166B" w:rsidP="00DA166B">
            <w:r w:rsidRPr="00233F8E">
              <w:rPr>
                <w:rFonts w:hint="eastAsia"/>
              </w:rPr>
              <w:t>・だいず初生葉期以降の散布では、品種を問わず一時的な薬害が発生することがある</w:t>
            </w:r>
          </w:p>
          <w:p w:rsidR="00DA166B" w:rsidRDefault="00DA166B" w:rsidP="00DA166B">
            <w:r w:rsidRPr="00233F8E">
              <w:rPr>
                <w:rFonts w:hint="eastAsia"/>
              </w:rPr>
              <w:t>・展着剤は加用しない</w:t>
            </w:r>
          </w:p>
          <w:p w:rsidR="00DA166B" w:rsidRDefault="00DA166B" w:rsidP="00DA166B">
            <w:r w:rsidRPr="00233F8E">
              <w:rPr>
                <w:rFonts w:hint="eastAsia"/>
              </w:rPr>
              <w:t>・砂土では使用せず、砕土、整地は丁寧に行い種子が露出しないように、覆土はできるだけ均一に厚めに行う。</w:t>
            </w:r>
          </w:p>
          <w:p w:rsidR="00DA166B" w:rsidRDefault="00DA166B" w:rsidP="00DA166B">
            <w:r w:rsidRPr="00233F8E">
              <w:rPr>
                <w:rFonts w:hint="eastAsia"/>
              </w:rPr>
              <w:t>・</w:t>
            </w:r>
            <w:bookmarkStart w:id="0" w:name="_GoBack"/>
            <w:bookmarkEnd w:id="0"/>
            <w:r w:rsidRPr="00233F8E">
              <w:rPr>
                <w:rFonts w:hint="eastAsia"/>
              </w:rPr>
              <w:t>他剤との混用はしない</w:t>
            </w:r>
          </w:p>
          <w:p w:rsidR="00DA166B" w:rsidRPr="00233F8E" w:rsidRDefault="00DA166B" w:rsidP="00DA166B">
            <w:r w:rsidRPr="00233F8E">
              <w:rPr>
                <w:rFonts w:hint="eastAsia"/>
              </w:rPr>
              <w:t>・有機リン系殺虫剤またはイネ科雑草処理除草剤との10日以内の近接散布は避ける</w:t>
            </w:r>
          </w:p>
        </w:tc>
        <w:tc>
          <w:tcPr>
            <w:tcW w:w="2976" w:type="dxa"/>
            <w:hideMark/>
          </w:tcPr>
          <w:p w:rsidR="00DA166B" w:rsidRDefault="00DA166B" w:rsidP="00DA166B">
            <w:r w:rsidRPr="00233F8E">
              <w:rPr>
                <w:rFonts w:hint="eastAsia"/>
              </w:rPr>
              <w:t>・薬害の発生程度や薬害からの回復には品種間差があるため、事前に薬害程度を確認して使用する</w:t>
            </w:r>
          </w:p>
          <w:p w:rsidR="00DA166B" w:rsidRDefault="00DA166B" w:rsidP="00DA166B">
            <w:r w:rsidRPr="00233F8E">
              <w:rPr>
                <w:rFonts w:hint="eastAsia"/>
              </w:rPr>
              <w:t>・高温時や日照が強く蒸散が盛んな場合には、低薬量(100ml/10a）で使用する</w:t>
            </w:r>
          </w:p>
          <w:p w:rsidR="00DA166B" w:rsidRDefault="00DA166B" w:rsidP="00DA166B">
            <w:r w:rsidRPr="00233F8E">
              <w:rPr>
                <w:rFonts w:hint="eastAsia"/>
              </w:rPr>
              <w:t>・低温、湿害、肥料不足等で生育不良のだいずには使用しない</w:t>
            </w:r>
          </w:p>
          <w:p w:rsidR="00DA166B" w:rsidRDefault="00DA166B" w:rsidP="00DA166B">
            <w:r w:rsidRPr="00233F8E">
              <w:rPr>
                <w:rFonts w:hint="eastAsia"/>
              </w:rPr>
              <w:t>・播種時にエチルメトン粒剤を使用した場合、薬害が強くでることがある</w:t>
            </w:r>
          </w:p>
          <w:p w:rsidR="00DA166B" w:rsidRPr="00233F8E" w:rsidRDefault="00DA166B" w:rsidP="00DA166B">
            <w:r w:rsidRPr="00233F8E">
              <w:rPr>
                <w:rFonts w:hint="eastAsia"/>
              </w:rPr>
              <w:t>・他剤との混用はしない</w:t>
            </w:r>
          </w:p>
        </w:tc>
        <w:tc>
          <w:tcPr>
            <w:tcW w:w="3090" w:type="dxa"/>
            <w:hideMark/>
          </w:tcPr>
          <w:p w:rsidR="00DA166B" w:rsidRDefault="00DA166B" w:rsidP="00DA166B">
            <w:r w:rsidRPr="00233F8E">
              <w:rPr>
                <w:rFonts w:hint="eastAsia"/>
              </w:rPr>
              <w:t>・品種を問わず、処理時の展開葉に比較的強い薬害症状を生じる。処理時に低温等の不純な天候が続くと薬害からの回復に時間がかかることがある</w:t>
            </w:r>
          </w:p>
          <w:p w:rsidR="00DA166B" w:rsidRDefault="00DA166B" w:rsidP="00DA166B">
            <w:r w:rsidRPr="00233F8E">
              <w:rPr>
                <w:rFonts w:hint="eastAsia"/>
              </w:rPr>
              <w:t>・展着剤は加用しない</w:t>
            </w:r>
          </w:p>
          <w:p w:rsidR="00DA166B" w:rsidRDefault="00DA166B" w:rsidP="00DA166B">
            <w:r w:rsidRPr="00233F8E">
              <w:rPr>
                <w:rFonts w:hint="eastAsia"/>
              </w:rPr>
              <w:t>・だいずが生育不良の場合または生育不良が予想される場合は使用を避ける</w:t>
            </w:r>
          </w:p>
          <w:p w:rsidR="00DA166B" w:rsidRPr="00233F8E" w:rsidRDefault="00DA166B" w:rsidP="00DA166B">
            <w:r w:rsidRPr="00233F8E">
              <w:rPr>
                <w:rFonts w:hint="eastAsia"/>
              </w:rPr>
              <w:t>・他の茎葉処理剤との混用は避ける</w:t>
            </w:r>
          </w:p>
        </w:tc>
      </w:tr>
    </w:tbl>
    <w:p w:rsidR="00233F8E" w:rsidRDefault="00233F8E" w:rsidP="00233F8E"/>
    <w:p w:rsidR="00DA166B" w:rsidRDefault="00DA166B" w:rsidP="005B7525">
      <w:pPr>
        <w:ind w:firstLineChars="100" w:firstLine="210"/>
      </w:pPr>
      <w:r>
        <w:rPr>
          <w:rFonts w:hint="eastAsia"/>
        </w:rPr>
        <w:t>効果の高い雑草種、注意事項等の詳細は各除草剤メーカーのホームページ等を確認すること。</w:t>
      </w:r>
    </w:p>
    <w:p w:rsidR="00DA166B" w:rsidRDefault="00DA166B" w:rsidP="005B7525">
      <w:pPr>
        <w:ind w:firstLineChars="100" w:firstLine="210"/>
      </w:pPr>
      <w:r>
        <w:rPr>
          <w:rFonts w:hint="eastAsia"/>
        </w:rPr>
        <w:t>これら除草剤の使用にあたっては、ラベルの内容やをよく理解して使用方法を遵守し、最新情報も確認し、必要な場合は広島県立総合技術研究所</w:t>
      </w:r>
      <w:r>
        <w:t xml:space="preserve"> 農業技術センター、各農業技術指導所の助言も参考にして使用すること。</w:t>
      </w:r>
    </w:p>
    <w:p w:rsidR="00DA166B" w:rsidRDefault="00DA166B" w:rsidP="00DA166B"/>
    <w:p w:rsidR="00DA166B" w:rsidRDefault="00DA166B" w:rsidP="00DA166B">
      <w:r>
        <w:rPr>
          <w:rFonts w:hint="eastAsia"/>
        </w:rPr>
        <w:t>注</w:t>
      </w:r>
      <w:r>
        <w:t>.農薬登録は令和</w:t>
      </w:r>
      <w:r w:rsidR="00F07CE2">
        <w:rPr>
          <w:rFonts w:hint="eastAsia"/>
        </w:rPr>
        <w:t>７</w:t>
      </w:r>
      <w:r>
        <w:t>年1月現在</w:t>
      </w:r>
    </w:p>
    <w:p w:rsidR="00DA166B" w:rsidRDefault="00DA166B" w:rsidP="00DA166B"/>
    <w:p w:rsidR="00DA166B" w:rsidRDefault="00DA166B" w:rsidP="00DA166B">
      <w:r>
        <w:rPr>
          <w:rFonts w:hint="eastAsia"/>
        </w:rPr>
        <w:t>参考資料</w:t>
      </w:r>
    </w:p>
    <w:p w:rsidR="00DA166B" w:rsidRDefault="00DA166B" w:rsidP="00DA166B">
      <w:r>
        <w:rPr>
          <w:rFonts w:hint="eastAsia"/>
        </w:rPr>
        <w:t>診断に基づく大豆栽培改善技術支援マニュアル「大豆栽培における難防除雑草の防除」農研機構　中央農業研究センター（</w:t>
      </w:r>
      <w:r>
        <w:t>2021.3）</w:t>
      </w:r>
    </w:p>
    <w:p w:rsidR="00DA166B" w:rsidRDefault="00DA166B" w:rsidP="00DA166B">
      <w:r>
        <w:t>https://www.naro.go.jp/project/research_activities/soybeanzassoumanual_full_202103.pdf</w:t>
      </w:r>
    </w:p>
    <w:p w:rsidR="00DA166B" w:rsidRPr="00233F8E" w:rsidRDefault="00DA166B" w:rsidP="00DA166B"/>
    <w:sectPr w:rsidR="00DA166B" w:rsidRPr="00233F8E" w:rsidSect="00233F8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FF5" w:rsidRDefault="00815FF5" w:rsidP="00815FF5">
      <w:r>
        <w:separator/>
      </w:r>
    </w:p>
  </w:endnote>
  <w:endnote w:type="continuationSeparator" w:id="0">
    <w:p w:rsidR="00815FF5" w:rsidRDefault="00815FF5" w:rsidP="0081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FF5" w:rsidRDefault="00815FF5" w:rsidP="00815FF5">
      <w:r>
        <w:separator/>
      </w:r>
    </w:p>
  </w:footnote>
  <w:footnote w:type="continuationSeparator" w:id="0">
    <w:p w:rsidR="00815FF5" w:rsidRDefault="00815FF5" w:rsidP="00815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8E"/>
    <w:rsid w:val="00233F8E"/>
    <w:rsid w:val="00595205"/>
    <w:rsid w:val="005B7525"/>
    <w:rsid w:val="006261F2"/>
    <w:rsid w:val="0064318A"/>
    <w:rsid w:val="006D2A9C"/>
    <w:rsid w:val="006F0C80"/>
    <w:rsid w:val="00815FF5"/>
    <w:rsid w:val="008E54BE"/>
    <w:rsid w:val="00AD3AA8"/>
    <w:rsid w:val="00DA166B"/>
    <w:rsid w:val="00F07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39D8662-989C-439C-9D79-89997F7D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3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16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A166B"/>
    <w:rPr>
      <w:rFonts w:asciiTheme="majorHAnsi" w:eastAsiaTheme="majorEastAsia" w:hAnsiTheme="majorHAnsi" w:cstheme="majorBidi"/>
      <w:sz w:val="18"/>
      <w:szCs w:val="18"/>
    </w:rPr>
  </w:style>
  <w:style w:type="paragraph" w:styleId="a6">
    <w:name w:val="header"/>
    <w:basedOn w:val="a"/>
    <w:link w:val="a7"/>
    <w:uiPriority w:val="99"/>
    <w:unhideWhenUsed/>
    <w:rsid w:val="00815FF5"/>
    <w:pPr>
      <w:tabs>
        <w:tab w:val="center" w:pos="4252"/>
        <w:tab w:val="right" w:pos="8504"/>
      </w:tabs>
      <w:snapToGrid w:val="0"/>
    </w:pPr>
  </w:style>
  <w:style w:type="character" w:customStyle="1" w:styleId="a7">
    <w:name w:val="ヘッダー (文字)"/>
    <w:basedOn w:val="a0"/>
    <w:link w:val="a6"/>
    <w:uiPriority w:val="99"/>
    <w:rsid w:val="00815FF5"/>
  </w:style>
  <w:style w:type="paragraph" w:styleId="a8">
    <w:name w:val="footer"/>
    <w:basedOn w:val="a"/>
    <w:link w:val="a9"/>
    <w:uiPriority w:val="99"/>
    <w:unhideWhenUsed/>
    <w:rsid w:val="00815FF5"/>
    <w:pPr>
      <w:tabs>
        <w:tab w:val="center" w:pos="4252"/>
        <w:tab w:val="right" w:pos="8504"/>
      </w:tabs>
      <w:snapToGrid w:val="0"/>
    </w:pPr>
  </w:style>
  <w:style w:type="character" w:customStyle="1" w:styleId="a9">
    <w:name w:val="フッター (文字)"/>
    <w:basedOn w:val="a0"/>
    <w:link w:val="a8"/>
    <w:uiPriority w:val="99"/>
    <w:rsid w:val="00815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0764">
      <w:bodyDiv w:val="1"/>
      <w:marLeft w:val="0"/>
      <w:marRight w:val="0"/>
      <w:marTop w:val="0"/>
      <w:marBottom w:val="0"/>
      <w:divBdr>
        <w:top w:val="none" w:sz="0" w:space="0" w:color="auto"/>
        <w:left w:val="none" w:sz="0" w:space="0" w:color="auto"/>
        <w:bottom w:val="none" w:sz="0" w:space="0" w:color="auto"/>
        <w:right w:val="none" w:sz="0" w:space="0" w:color="auto"/>
      </w:divBdr>
    </w:div>
    <w:div w:id="361250002">
      <w:bodyDiv w:val="1"/>
      <w:marLeft w:val="0"/>
      <w:marRight w:val="0"/>
      <w:marTop w:val="0"/>
      <w:marBottom w:val="0"/>
      <w:divBdr>
        <w:top w:val="none" w:sz="0" w:space="0" w:color="auto"/>
        <w:left w:val="none" w:sz="0" w:space="0" w:color="auto"/>
        <w:bottom w:val="none" w:sz="0" w:space="0" w:color="auto"/>
        <w:right w:val="none" w:sz="0" w:space="0" w:color="auto"/>
      </w:divBdr>
    </w:div>
    <w:div w:id="107632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F6DA9-B7B5-4006-9A0C-0FFAB2D0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小野山 佳佑</cp:lastModifiedBy>
  <cp:revision>7</cp:revision>
  <cp:lastPrinted>2024-01-30T00:45:00Z</cp:lastPrinted>
  <dcterms:created xsi:type="dcterms:W3CDTF">2024-01-30T00:06:00Z</dcterms:created>
  <dcterms:modified xsi:type="dcterms:W3CDTF">2025-03-18T05:35:00Z</dcterms:modified>
</cp:coreProperties>
</file>