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D907A5" w:rsidRDefault="00804A6D" w:rsidP="00804A6D">
      <w:pPr>
        <w:widowControl/>
        <w:jc w:val="left"/>
      </w:pPr>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　　　　から委託された場合の業務に</w:t>
      </w:r>
      <w:r w:rsidRPr="00D907A5">
        <w:rPr>
          <w:rFonts w:ascii="ＭＳ 明朝"/>
          <w:kern w:val="0"/>
        </w:rPr>
        <w:t>関して</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この申出の内容は，入札等の結果に影響しませんが，電子データの保存状況により，安全管理措置上の問題が生じる場合には，</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入札等の結果に基づき契約の相手方となった場合，契約時に別途「電子データの保</w:t>
      </w:r>
      <w:r w:rsidRPr="00D907A5">
        <w:rPr>
          <w:rFonts w:ascii="ＭＳ 明朝"/>
          <w:kern w:val="0"/>
        </w:rPr>
        <w:t>存</w:t>
      </w:r>
      <w:r w:rsidRPr="00D907A5">
        <w:rPr>
          <w:rFonts w:ascii="ＭＳ 明朝" w:hint="eastAsia"/>
          <w:kern w:val="0"/>
        </w:rPr>
        <w:t>等に関する届出書」により，オンラインストレージの利用先等の具</w:t>
      </w:r>
      <w:bookmarkStart w:id="0" w:name="_GoBack"/>
      <w:bookmarkEnd w:id="0"/>
      <w:r w:rsidRPr="00D907A5">
        <w:rPr>
          <w:rFonts w:ascii="ＭＳ 明朝" w:hint="eastAsia"/>
          <w:kern w:val="0"/>
        </w:rPr>
        <w:t>体的な名称を届け出る必要があります（再委託先等がある場合には，再委託先等についても個別に届出書の提出が必要となります。）。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81" w:rsidRDefault="00D56581" w:rsidP="006D109F">
      <w:r>
        <w:separator/>
      </w:r>
    </w:p>
  </w:endnote>
  <w:endnote w:type="continuationSeparator" w:id="0">
    <w:p w:rsidR="00D56581" w:rsidRDefault="00D56581"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81" w:rsidRDefault="00D56581" w:rsidP="006D109F">
      <w:r>
        <w:separator/>
      </w:r>
    </w:p>
  </w:footnote>
  <w:footnote w:type="continuationSeparator" w:id="0">
    <w:p w:rsidR="00D56581" w:rsidRDefault="00D56581"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FC72-9FE6-4228-964C-B02ED9A6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中嶋 敦子</cp:lastModifiedBy>
  <cp:revision>3</cp:revision>
  <dcterms:created xsi:type="dcterms:W3CDTF">2023-02-13T04:07:00Z</dcterms:created>
  <dcterms:modified xsi:type="dcterms:W3CDTF">2023-02-13T04:21:00Z</dcterms:modified>
</cp:coreProperties>
</file>